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5A6C4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E403BC8">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eastAsia="黑体"/>
                <w:sz w:val="21"/>
                <w:szCs w:val="21"/>
              </w:rPr>
              <w:t>ICS</w:t>
            </w:r>
            <w:r>
              <w:rPr>
                <w:rFonts w:ascii="黑体" w:hAnsi="黑体" w:eastAsia="黑体"/>
                <w:sz w:val="21"/>
                <w:szCs w:val="21"/>
              </w:rPr>
              <w:t xml:space="preserve">  </w:t>
            </w:r>
          </w:p>
        </w:tc>
        <w:tc>
          <w:tcPr>
            <w:tcW w:w="8855" w:type="dxa"/>
          </w:tcPr>
          <w:p w14:paraId="31426011">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03.080</w:t>
            </w:r>
            <w:r>
              <w:rPr>
                <w:rFonts w:ascii="黑体" w:hAnsi="黑体" w:eastAsia="黑体"/>
                <w:sz w:val="21"/>
                <w:szCs w:val="21"/>
              </w:rPr>
              <w:t xml:space="preserve"> </w:t>
            </w:r>
            <w:r>
              <w:rPr>
                <w:rFonts w:ascii="黑体" w:hAnsi="黑体" w:eastAsia="黑体"/>
                <w:sz w:val="21"/>
                <w:szCs w:val="21"/>
              </w:rPr>
              <w:fldChar w:fldCharType="end"/>
            </w:r>
            <w:bookmarkEnd w:id="0"/>
          </w:p>
        </w:tc>
      </w:tr>
      <w:tr w14:paraId="6AC96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6315FDB">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eastAsia="黑体"/>
                <w:sz w:val="21"/>
                <w:szCs w:val="21"/>
              </w:rPr>
              <w:t xml:space="preserve">CCS </w:t>
            </w:r>
            <w:r>
              <w:rPr>
                <w:rFonts w:ascii="黑体" w:hAnsi="黑体" w:eastAsia="黑体"/>
                <w:sz w:val="21"/>
                <w:szCs w:val="21"/>
              </w:rPr>
              <w:t xml:space="preserve"> </w:t>
            </w:r>
          </w:p>
        </w:tc>
        <w:tc>
          <w:tcPr>
            <w:tcW w:w="8855" w:type="dxa"/>
          </w:tcPr>
          <w:p w14:paraId="2F36F7B4">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A16</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7CF61FA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4CB954C6">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37</w:t>
            </w:r>
            <w:r>
              <w:fldChar w:fldCharType="end"/>
            </w:r>
            <w:bookmarkEnd w:id="3"/>
          </w:p>
        </w:tc>
      </w:tr>
    </w:tbl>
    <w:p w14:paraId="0928F67B">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山东省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038471C7">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37</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0B0D8F67">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243070F">
      <w:pPr>
        <w:spacing w:line="240" w:lineRule="auto"/>
        <w:rPr>
          <w:rFonts w:hint="eastAsia" w:ascii="黑体" w:hAnsi="黑体" w:eastAsia="黑体"/>
          <w:sz w:val="10"/>
          <w:szCs w:val="10"/>
        </w:rPr>
      </w:pPr>
      <w:r>
        <w:rPr>
          <w:rFonts w:ascii="黑体" w:hAnsi="黑体" w:eastAsia="黑体"/>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0729D79">
      <w:pPr>
        <w:pStyle w:val="50"/>
        <w:framePr w:w="9639" w:h="6976" w:hRule="exact" w:hSpace="0" w:vSpace="0" w:wrap="around" w:hAnchor="page" w:y="6408"/>
        <w:jc w:val="center"/>
        <w:rPr>
          <w:rFonts w:hint="eastAsia" w:ascii="黑体" w:hAnsi="黑体" w:eastAsia="黑体"/>
          <w:b w:val="0"/>
          <w:bCs w:val="0"/>
          <w:w w:val="100"/>
        </w:rPr>
      </w:pPr>
    </w:p>
    <w:p w14:paraId="480FE853">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知识产权信息公共服务指南</w:t>
      </w:r>
      <w:r>
        <w:fldChar w:fldCharType="end"/>
      </w:r>
      <w:bookmarkEnd w:id="9"/>
    </w:p>
    <w:p w14:paraId="255088EE">
      <w:pPr>
        <w:framePr w:w="9639" w:h="6974" w:hRule="exact" w:wrap="around" w:vAnchor="page" w:hAnchor="page" w:x="1419" w:y="6408" w:anchorLock="1"/>
        <w:ind w:left="-1418"/>
      </w:pPr>
    </w:p>
    <w:p w14:paraId="1DA1CA0F">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guidelines of public services for intellectual property information</w:t>
      </w:r>
      <w:r>
        <w:rPr>
          <w:rFonts w:eastAsia="黑体"/>
          <w:szCs w:val="28"/>
        </w:rPr>
        <w:fldChar w:fldCharType="end"/>
      </w:r>
      <w:bookmarkEnd w:id="10"/>
    </w:p>
    <w:p w14:paraId="62D172BF">
      <w:pPr>
        <w:framePr w:w="9639" w:h="6974" w:hRule="exact" w:wrap="around" w:vAnchor="page" w:hAnchor="page" w:x="1419" w:y="6408" w:anchorLock="1"/>
        <w:spacing w:line="760" w:lineRule="exact"/>
        <w:ind w:left="-1418"/>
      </w:pPr>
    </w:p>
    <w:p w14:paraId="182BE64D">
      <w:pPr>
        <w:pStyle w:val="125"/>
        <w:framePr w:w="9639" w:h="6974" w:hRule="exact" w:wrap="around" w:vAnchor="page" w:hAnchor="page" w:x="1419" w:y="6408" w:anchorLock="1"/>
        <w:textAlignment w:val="bottom"/>
        <w:rPr>
          <w:rFonts w:eastAsia="黑体"/>
          <w:szCs w:val="28"/>
        </w:rPr>
      </w:pPr>
    </w:p>
    <w:p w14:paraId="672ED470">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A98BCEF">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094D40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897A52F">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3CA8A0DD">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2C301F3E">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山东省市场监督管理局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4D2B6903">
      <w:pPr>
        <w:rPr>
          <w:rFonts w:hint="eastAsia"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568699D">
      <w:pPr>
        <w:pStyle w:val="89"/>
        <w:spacing w:before="900" w:after="468"/>
      </w:pPr>
      <w:bookmarkStart w:id="21" w:name="_Toc204594277"/>
      <w:bookmarkStart w:id="22" w:name="BookMark2"/>
      <w:r>
        <w:rPr>
          <w:rFonts w:hint="eastAsia"/>
          <w:spacing w:val="320"/>
        </w:rPr>
        <w:t>前</w:t>
      </w:r>
      <w:r>
        <w:rPr>
          <w:rFonts w:hint="eastAsia"/>
        </w:rPr>
        <w:t>言</w:t>
      </w:r>
      <w:bookmarkEnd w:id="21"/>
    </w:p>
    <w:p w14:paraId="61A8777C">
      <w:pPr>
        <w:pStyle w:val="56"/>
        <w:ind w:firstLine="420"/>
      </w:pPr>
      <w:r>
        <w:rPr>
          <w:rFonts w:hint="eastAsia"/>
        </w:rPr>
        <w:t>本文件按照GB/T 1.1—2020《标准化工作导则  第1部分：标准化文件的结构和起草规则》的规定起草。</w:t>
      </w:r>
    </w:p>
    <w:p w14:paraId="16FCCCE1">
      <w:pPr>
        <w:pStyle w:val="56"/>
        <w:ind w:firstLine="420"/>
      </w:pPr>
      <w:r>
        <w:rPr>
          <w:rFonts w:hint="eastAsia"/>
        </w:rPr>
        <w:t>本文件由山东省市场监督管理局提出并归口。</w:t>
      </w:r>
    </w:p>
    <w:p w14:paraId="7B4C9EBD">
      <w:pPr>
        <w:pStyle w:val="56"/>
        <w:ind w:firstLine="420"/>
      </w:pPr>
      <w:r>
        <w:rPr>
          <w:rFonts w:hint="eastAsia"/>
        </w:rPr>
        <w:t>本文件起草单位：</w:t>
      </w:r>
      <w:r>
        <w:rPr>
          <w:rFonts w:hint="eastAsia"/>
          <w:lang w:eastAsia="zh-CN"/>
        </w:rPr>
        <w:t>山东省知识产权事业发展中心</w:t>
      </w:r>
      <w:bookmarkStart w:id="73" w:name="_GoBack"/>
      <w:bookmarkEnd w:id="73"/>
      <w:r>
        <w:rPr>
          <w:rFonts w:hint="eastAsia"/>
        </w:rPr>
        <w:t>。</w:t>
      </w:r>
    </w:p>
    <w:p w14:paraId="4572B20B">
      <w:pPr>
        <w:pStyle w:val="56"/>
        <w:ind w:firstLine="420"/>
      </w:pPr>
      <w:r>
        <w:rPr>
          <w:rFonts w:hint="eastAsia"/>
        </w:rPr>
        <w:t>本文件主要起草人：略。</w:t>
      </w:r>
    </w:p>
    <w:p w14:paraId="5C2533B9">
      <w:pPr>
        <w:pStyle w:val="56"/>
        <w:ind w:firstLine="420"/>
      </w:pPr>
    </w:p>
    <w:p w14:paraId="1A3E3758">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22"/>
    <w:p w14:paraId="5FDDFD77">
      <w:pPr>
        <w:spacing w:line="20" w:lineRule="exact"/>
        <w:jc w:val="center"/>
        <w:rPr>
          <w:rFonts w:hint="eastAsia" w:ascii="黑体" w:hAnsi="黑体" w:eastAsia="黑体"/>
          <w:sz w:val="32"/>
          <w:szCs w:val="32"/>
        </w:rPr>
      </w:pPr>
      <w:bookmarkStart w:id="23" w:name="BookMark4"/>
    </w:p>
    <w:p w14:paraId="6251978B">
      <w:pPr>
        <w:spacing w:line="20" w:lineRule="exact"/>
        <w:jc w:val="center"/>
        <w:rPr>
          <w:rFonts w:hint="eastAsia" w:ascii="黑体" w:hAnsi="黑体" w:eastAsia="黑体"/>
          <w:sz w:val="32"/>
          <w:szCs w:val="32"/>
        </w:rPr>
      </w:pPr>
    </w:p>
    <w:sdt>
      <w:sdtPr>
        <w:tag w:val="NEW_STAND_NAME"/>
        <w:id w:val="595910757"/>
        <w:lock w:val="sdtLocked"/>
        <w:placeholder>
          <w:docPart w:val="5946AA61E73646DBBFFEF8113CBCAFAC"/>
        </w:placeholder>
      </w:sdtPr>
      <w:sdtContent>
        <w:p w14:paraId="6F2F9D1D">
          <w:pPr>
            <w:pStyle w:val="177"/>
            <w:spacing w:before="312" w:beforeLines="100" w:after="686" w:afterLines="220"/>
            <w:rPr>
              <w:rFonts w:hint="eastAsia"/>
            </w:rPr>
          </w:pPr>
          <w:bookmarkStart w:id="24" w:name="NEW_STAND_NAME"/>
          <w:r>
            <w:rPr>
              <w:rFonts w:hint="eastAsia"/>
            </w:rPr>
            <w:t>知识产权信息公共服务指南</w:t>
          </w:r>
        </w:p>
      </w:sdtContent>
    </w:sdt>
    <w:bookmarkEnd w:id="24"/>
    <w:p w14:paraId="10AB57C6">
      <w:pPr>
        <w:pStyle w:val="104"/>
        <w:spacing w:before="312" w:after="312"/>
      </w:pPr>
      <w:bookmarkStart w:id="25" w:name="_Toc26648465"/>
      <w:bookmarkStart w:id="26" w:name="_Toc26718930"/>
      <w:bookmarkStart w:id="27" w:name="_Toc17233333"/>
      <w:bookmarkStart w:id="28" w:name="_Toc26986771"/>
      <w:bookmarkStart w:id="29" w:name="_Toc97191423"/>
      <w:bookmarkStart w:id="30" w:name="_Toc24884211"/>
      <w:bookmarkStart w:id="31" w:name="_Toc17233325"/>
      <w:bookmarkStart w:id="32" w:name="_Toc24884218"/>
      <w:bookmarkStart w:id="33" w:name="_Toc204594278"/>
      <w:bookmarkStart w:id="34" w:name="_Toc26986530"/>
      <w:r>
        <w:rPr>
          <w:rFonts w:hint="eastAsia"/>
        </w:rPr>
        <w:t>范围</w:t>
      </w:r>
      <w:bookmarkEnd w:id="25"/>
      <w:bookmarkEnd w:id="26"/>
      <w:bookmarkEnd w:id="27"/>
      <w:bookmarkEnd w:id="28"/>
      <w:bookmarkEnd w:id="29"/>
      <w:bookmarkEnd w:id="30"/>
      <w:bookmarkEnd w:id="31"/>
      <w:bookmarkEnd w:id="32"/>
      <w:bookmarkEnd w:id="33"/>
      <w:bookmarkEnd w:id="34"/>
    </w:p>
    <w:p w14:paraId="185312AF">
      <w:pPr>
        <w:pStyle w:val="56"/>
        <w:ind w:firstLine="420"/>
      </w:pPr>
      <w:bookmarkStart w:id="35" w:name="_Toc26648466"/>
      <w:bookmarkStart w:id="36" w:name="_Toc17233326"/>
      <w:bookmarkStart w:id="37" w:name="_Toc24884219"/>
      <w:bookmarkStart w:id="38" w:name="_Toc17233334"/>
      <w:bookmarkStart w:id="39" w:name="_Toc24884212"/>
      <w:r>
        <w:rPr>
          <w:rFonts w:hint="eastAsia"/>
        </w:rPr>
        <w:t>本文件给出了知识产权信息公共服务的基本原则，提供了知识产权信息公共服务机构、服务内容、服务流程、服务质量提升等方面的指导和建议。</w:t>
      </w:r>
    </w:p>
    <w:p w14:paraId="46008F8D">
      <w:pPr>
        <w:pStyle w:val="56"/>
        <w:ind w:firstLine="420"/>
      </w:pPr>
      <w:r>
        <w:rPr>
          <w:rFonts w:hint="eastAsia"/>
        </w:rPr>
        <w:t>本文件适用于指导山东省开展知识产权信息公共服务工作。</w:t>
      </w:r>
    </w:p>
    <w:p w14:paraId="1E8FF51B">
      <w:pPr>
        <w:pStyle w:val="104"/>
        <w:spacing w:before="312" w:after="312"/>
      </w:pPr>
      <w:bookmarkStart w:id="40" w:name="_Toc26986531"/>
      <w:bookmarkStart w:id="41" w:name="_Toc26986772"/>
      <w:bookmarkStart w:id="42" w:name="_Toc26718931"/>
      <w:bookmarkStart w:id="43" w:name="_Toc204594279"/>
      <w:bookmarkStart w:id="44" w:name="_Toc97191424"/>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E21DD498141941058A8CF0960A4DF05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3BAE155">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363292A">
      <w:pPr>
        <w:pStyle w:val="56"/>
        <w:ind w:firstLine="420"/>
      </w:pPr>
      <w:r>
        <w:rPr>
          <w:rFonts w:hint="eastAsia"/>
        </w:rPr>
        <w:t>GB/T 21374 知识产权文献与信息基本词汇</w:t>
      </w:r>
    </w:p>
    <w:p w14:paraId="0E2ED4FA">
      <w:pPr>
        <w:pStyle w:val="104"/>
        <w:spacing w:before="312" w:after="312"/>
      </w:pPr>
      <w:bookmarkStart w:id="45" w:name="_Toc204594280"/>
      <w:bookmarkStart w:id="46" w:name="_Toc97191425"/>
      <w:r>
        <w:rPr>
          <w:rFonts w:hint="eastAsia"/>
          <w:szCs w:val="21"/>
        </w:rPr>
        <w:t>术语和定义</w:t>
      </w:r>
      <w:bookmarkEnd w:id="45"/>
      <w:bookmarkEnd w:id="46"/>
    </w:p>
    <w:sdt>
      <w:sdtPr>
        <w:id w:val="-1909835108"/>
        <w:placeholder>
          <w:docPart w:val="D441E2EA6FCC4514A2A4B29C93613D2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5AD2E72">
          <w:pPr>
            <w:pStyle w:val="56"/>
            <w:ind w:firstLine="420"/>
          </w:pPr>
          <w:bookmarkStart w:id="47" w:name="_Toc26986532"/>
          <w:bookmarkEnd w:id="47"/>
          <w:r>
            <w:rPr>
              <w:rFonts w:hint="eastAsia"/>
            </w:rPr>
            <w:t>GB/T 21374</w:t>
          </w:r>
          <w:r>
            <w:t>界定的以及下列术语和定义适用于本文件。</w:t>
          </w:r>
        </w:p>
      </w:sdtContent>
    </w:sdt>
    <w:p w14:paraId="4FDBAB06">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 xml:space="preserve">知识产权信息公共服务机构 </w:t>
      </w:r>
      <w:r>
        <w:rPr>
          <w:rFonts w:ascii="黑体" w:hAnsi="黑体" w:eastAsia="黑体"/>
          <w:bCs/>
        </w:rPr>
        <w:t xml:space="preserve">public service </w:t>
      </w:r>
      <w:r>
        <w:rPr>
          <w:rFonts w:hint="eastAsia" w:ascii="黑体" w:hAnsi="黑体" w:eastAsia="黑体"/>
          <w:bCs/>
        </w:rPr>
        <w:t>institution</w:t>
      </w:r>
      <w:r>
        <w:rPr>
          <w:rFonts w:ascii="黑体" w:hAnsi="黑体" w:eastAsia="黑体"/>
          <w:bCs/>
        </w:rPr>
        <w:t xml:space="preserve"> for intellectual property information</w:t>
      </w:r>
    </w:p>
    <w:p w14:paraId="393CD654">
      <w:pPr>
        <w:pStyle w:val="56"/>
        <w:ind w:firstLine="420"/>
      </w:pPr>
      <w:r>
        <w:rPr>
          <w:rFonts w:hint="eastAsia"/>
        </w:rPr>
        <w:t>围绕国家、省重大发展战略，面向创新创业主体和社会公众开展知识产权信息公共服务的机构。</w:t>
      </w:r>
    </w:p>
    <w:p w14:paraId="6DF7237D">
      <w:pPr>
        <w:pStyle w:val="104"/>
        <w:spacing w:before="312" w:after="312"/>
      </w:pPr>
      <w:bookmarkStart w:id="48" w:name="_Toc204594281"/>
      <w:r>
        <w:rPr>
          <w:rFonts w:hint="eastAsia"/>
        </w:rPr>
        <w:t>基本原则</w:t>
      </w:r>
      <w:bookmarkEnd w:id="48"/>
    </w:p>
    <w:p w14:paraId="3D195D7C">
      <w:pPr>
        <w:pStyle w:val="105"/>
        <w:spacing w:before="156" w:after="156"/>
      </w:pPr>
      <w:bookmarkStart w:id="49" w:name="_Toc204594282"/>
      <w:r>
        <w:rPr>
          <w:rFonts w:hint="eastAsia"/>
        </w:rPr>
        <w:t>普惠性</w:t>
      </w:r>
      <w:bookmarkEnd w:id="49"/>
    </w:p>
    <w:p w14:paraId="11242741">
      <w:pPr>
        <w:pStyle w:val="56"/>
        <w:ind w:firstLine="420"/>
      </w:pPr>
      <w:r>
        <w:rPr>
          <w:rFonts w:hint="eastAsia"/>
        </w:rPr>
        <w:t>坚持服务对象覆盖广泛，面向各类创新主体平等开放提供知识产权信息公共服务，培养发展特色服务能力，为知识产权布局、产业检索分析、知识产权风险预警、高价值专利转移转化等工作提供知识产权信息服务支撑，拓展服务广度与深度，加快培育和形成新质生产力，更好服务经济社会高质量发展。</w:t>
      </w:r>
    </w:p>
    <w:p w14:paraId="3302ADD9">
      <w:pPr>
        <w:pStyle w:val="105"/>
        <w:spacing w:before="156" w:after="156"/>
      </w:pPr>
      <w:bookmarkStart w:id="50" w:name="_Toc204594283"/>
      <w:r>
        <w:rPr>
          <w:rFonts w:hint="eastAsia"/>
        </w:rPr>
        <w:t>基础性</w:t>
      </w:r>
      <w:bookmarkEnd w:id="50"/>
    </w:p>
    <w:p w14:paraId="08D43161">
      <w:pPr>
        <w:pStyle w:val="56"/>
        <w:ind w:firstLine="420"/>
      </w:pPr>
      <w:r>
        <w:rPr>
          <w:rFonts w:hint="eastAsia"/>
        </w:rPr>
        <w:t>围绕国家和区域发展战略，聚焦社会公众和创新创业主体需求，主动为重点产业、重大科研项目、科技成果转化等关键领域，提供咨询、检索、宣传等知识产权信息基本服务支持。</w:t>
      </w:r>
    </w:p>
    <w:p w14:paraId="4F771E05">
      <w:pPr>
        <w:pStyle w:val="105"/>
        <w:spacing w:before="156" w:after="156"/>
      </w:pPr>
      <w:bookmarkStart w:id="51" w:name="_Toc204594284"/>
      <w:r>
        <w:rPr>
          <w:rFonts w:hint="eastAsia"/>
        </w:rPr>
        <w:t>便利性</w:t>
      </w:r>
      <w:bookmarkEnd w:id="51"/>
    </w:p>
    <w:p w14:paraId="27C7801B">
      <w:pPr>
        <w:pStyle w:val="56"/>
        <w:ind w:firstLine="420"/>
      </w:pPr>
      <w:r>
        <w:rPr>
          <w:rFonts w:hint="eastAsia"/>
        </w:rPr>
        <w:t>清晰、完整地公开知识产权信息公共服务事项清单及具体服务内容，并通过国家知识产权公共服务网、单位网站等权威渠道及时向社会公布，确保服务内容易于获取、服务流程便捷高效、服务渠道畅通多元。</w:t>
      </w:r>
    </w:p>
    <w:p w14:paraId="2B8A60EE">
      <w:pPr>
        <w:pStyle w:val="105"/>
        <w:spacing w:before="156" w:after="156"/>
      </w:pPr>
      <w:bookmarkStart w:id="52" w:name="_Toc204594285"/>
      <w:r>
        <w:rPr>
          <w:rFonts w:hint="eastAsia"/>
        </w:rPr>
        <w:t>规范性</w:t>
      </w:r>
      <w:bookmarkEnd w:id="52"/>
    </w:p>
    <w:p w14:paraId="76B54B1F">
      <w:pPr>
        <w:pStyle w:val="56"/>
        <w:ind w:firstLine="420"/>
      </w:pPr>
      <w:r>
        <w:rPr>
          <w:rFonts w:hint="eastAsia"/>
        </w:rPr>
        <w:t>建立健全知识产权信息公共服务工作制度，推广应用国家知识产权局关于数据采集和加工、信息利用、信息服务等方面的规范和指引，保障服务过程统一、服务质量可靠、服务结果可比。</w:t>
      </w:r>
    </w:p>
    <w:p w14:paraId="240FDB1A">
      <w:pPr>
        <w:pStyle w:val="105"/>
        <w:spacing w:before="156" w:after="156"/>
      </w:pPr>
      <w:bookmarkStart w:id="53" w:name="_Toc204594286"/>
      <w:r>
        <w:rPr>
          <w:rFonts w:hint="eastAsia"/>
        </w:rPr>
        <w:t>创新性</w:t>
      </w:r>
      <w:bookmarkEnd w:id="53"/>
    </w:p>
    <w:p w14:paraId="0F552B39">
      <w:pPr>
        <w:pStyle w:val="56"/>
        <w:ind w:firstLine="420"/>
      </w:pPr>
      <w:r>
        <w:rPr>
          <w:rFonts w:hint="eastAsia"/>
        </w:rPr>
        <w:t>利用新媒体等现代信息技术手段拓展服务新渠道、开创服务新模式、丰富服务新内容，建立知识产权信息公共服务反馈机制，持续改进服务方式、提升服务效能与用户满意度。</w:t>
      </w:r>
    </w:p>
    <w:p w14:paraId="5167D4B7">
      <w:pPr>
        <w:pStyle w:val="104"/>
        <w:spacing w:before="312" w:after="312"/>
      </w:pPr>
      <w:bookmarkStart w:id="54" w:name="_Toc204594287"/>
      <w:r>
        <w:rPr>
          <w:rFonts w:hint="eastAsia"/>
        </w:rPr>
        <w:t>服务</w:t>
      </w:r>
      <w:bookmarkEnd w:id="54"/>
      <w:r>
        <w:rPr>
          <w:rFonts w:hint="eastAsia"/>
        </w:rPr>
        <w:t>机构</w:t>
      </w:r>
    </w:p>
    <w:p w14:paraId="1758545D">
      <w:pPr>
        <w:pStyle w:val="105"/>
        <w:spacing w:before="156" w:after="156"/>
      </w:pPr>
      <w:r>
        <w:rPr>
          <w:rFonts w:hint="eastAsia"/>
        </w:rPr>
        <w:t>服务机构类型</w:t>
      </w:r>
    </w:p>
    <w:p w14:paraId="32A92C22">
      <w:pPr>
        <w:pStyle w:val="165"/>
      </w:pPr>
      <w:r>
        <w:rPr>
          <w:rFonts w:hint="eastAsia"/>
        </w:rPr>
        <w:t>各级知识产权管理部门所属的知识产权信息公共服务机构，包括：</w:t>
      </w:r>
    </w:p>
    <w:p w14:paraId="1F0EDE9C">
      <w:pPr>
        <w:pStyle w:val="132"/>
      </w:pPr>
      <w:r>
        <w:rPr>
          <w:rFonts w:hint="eastAsia"/>
        </w:rPr>
        <w:t>国家级知识产权信息公共服务节点；</w:t>
      </w:r>
    </w:p>
    <w:p w14:paraId="187EBA60">
      <w:pPr>
        <w:pStyle w:val="132"/>
      </w:pPr>
      <w:r>
        <w:rPr>
          <w:rFonts w:hint="eastAsia"/>
        </w:rPr>
        <w:t>省级知识产权信息公共服务节点；</w:t>
      </w:r>
    </w:p>
    <w:p w14:paraId="50C0B516">
      <w:pPr>
        <w:pStyle w:val="132"/>
      </w:pPr>
      <w:r>
        <w:rPr>
          <w:rFonts w:hint="eastAsia"/>
        </w:rPr>
        <w:t>市级综合性知识产权公共服务机构。</w:t>
      </w:r>
    </w:p>
    <w:p w14:paraId="0BF00063">
      <w:pPr>
        <w:pStyle w:val="165"/>
      </w:pPr>
      <w:r>
        <w:rPr>
          <w:rFonts w:hint="eastAsia"/>
        </w:rPr>
        <w:t>各级知识产权管理部门认定或备案的提供知识产权信息公共服务的社会化信息服务机构，包括：</w:t>
      </w:r>
    </w:p>
    <w:p w14:paraId="114B7EF4">
      <w:pPr>
        <w:pStyle w:val="132"/>
      </w:pPr>
      <w:r>
        <w:rPr>
          <w:rFonts w:hint="eastAsia"/>
        </w:rPr>
        <w:t>技术与创新支持中心（TISC）；</w:t>
      </w:r>
    </w:p>
    <w:p w14:paraId="185217D5">
      <w:pPr>
        <w:pStyle w:val="132"/>
      </w:pPr>
      <w:r>
        <w:rPr>
          <w:rFonts w:hint="eastAsia"/>
        </w:rPr>
        <w:t>高校国家知识产权信息服务中心；</w:t>
      </w:r>
    </w:p>
    <w:p w14:paraId="2068FAE8">
      <w:pPr>
        <w:pStyle w:val="132"/>
      </w:pPr>
      <w:r>
        <w:rPr>
          <w:rFonts w:hint="eastAsia"/>
        </w:rPr>
        <w:t>国家知识产权信息公共服务网点；</w:t>
      </w:r>
    </w:p>
    <w:p w14:paraId="766E566B">
      <w:pPr>
        <w:pStyle w:val="132"/>
      </w:pPr>
      <w:r>
        <w:rPr>
          <w:rFonts w:hint="eastAsia"/>
        </w:rPr>
        <w:t>省级知识产权信息公共服务网点；</w:t>
      </w:r>
    </w:p>
    <w:p w14:paraId="01F6334C">
      <w:pPr>
        <w:pStyle w:val="132"/>
      </w:pPr>
      <w:r>
        <w:rPr>
          <w:rFonts w:hint="eastAsia"/>
        </w:rPr>
        <w:t>市级知识产权信息公共服务网点；</w:t>
      </w:r>
    </w:p>
    <w:p w14:paraId="5D1A97CA">
      <w:pPr>
        <w:pStyle w:val="132"/>
      </w:pPr>
      <w:r>
        <w:rPr>
          <w:rFonts w:hint="eastAsia"/>
        </w:rPr>
        <w:t>其他高校、科研机构、科技情报机构、行业组织、生产力促进机构、公共图书馆、博物馆以及相关服务机构。</w:t>
      </w:r>
    </w:p>
    <w:p w14:paraId="603E0E87">
      <w:pPr>
        <w:pStyle w:val="165"/>
      </w:pPr>
      <w:r>
        <w:rPr>
          <w:rFonts w:hint="eastAsia"/>
        </w:rPr>
        <w:t>各级各类知识产权信息公共服务平台。</w:t>
      </w:r>
    </w:p>
    <w:p w14:paraId="47C04256">
      <w:pPr>
        <w:pStyle w:val="105"/>
        <w:spacing w:before="156" w:after="156"/>
      </w:pPr>
      <w:bookmarkStart w:id="55" w:name="_Toc204594288"/>
      <w:r>
        <w:rPr>
          <w:rFonts w:hint="eastAsia"/>
        </w:rPr>
        <w:t>服务人员</w:t>
      </w:r>
      <w:bookmarkEnd w:id="55"/>
    </w:p>
    <w:p w14:paraId="35BDA94C">
      <w:pPr>
        <w:pStyle w:val="165"/>
      </w:pPr>
      <w:r>
        <w:rPr>
          <w:rFonts w:hint="eastAsia"/>
        </w:rPr>
        <w:t>宜拥有专业知识产权信息服务人员，配备满足服务需求的专职人员和兼职人员，明确人员任职条件和工作职责。</w:t>
      </w:r>
    </w:p>
    <w:p w14:paraId="48148A19">
      <w:pPr>
        <w:pStyle w:val="165"/>
      </w:pPr>
      <w:r>
        <w:rPr>
          <w:rFonts w:hint="eastAsia"/>
        </w:rPr>
        <w:t>宜接受过系统的知识产权信息培训，熟悉知识产权法律法规和最新政策，掌握知识产权基础业务知识，具备一定的知识产权检索分析能力。</w:t>
      </w:r>
    </w:p>
    <w:p w14:paraId="5702B17B">
      <w:pPr>
        <w:pStyle w:val="165"/>
      </w:pPr>
      <w:r>
        <w:rPr>
          <w:rFonts w:hint="eastAsia"/>
        </w:rPr>
        <w:t>服务人员宜积极参加政府部门或有关专业机构主办的知识产权相关培训。</w:t>
      </w:r>
    </w:p>
    <w:p w14:paraId="1D5F91B4">
      <w:pPr>
        <w:pStyle w:val="105"/>
        <w:spacing w:before="156" w:after="156"/>
      </w:pPr>
      <w:bookmarkStart w:id="56" w:name="_Toc204594289"/>
      <w:r>
        <w:rPr>
          <w:rFonts w:hint="eastAsia"/>
        </w:rPr>
        <w:t>设施设备</w:t>
      </w:r>
      <w:bookmarkEnd w:id="56"/>
    </w:p>
    <w:p w14:paraId="76656DF2">
      <w:pPr>
        <w:pStyle w:val="165"/>
      </w:pPr>
      <w:r>
        <w:rPr>
          <w:rFonts w:hint="eastAsia"/>
        </w:rPr>
        <w:t>宜具有适合开展知识产权信息公共服务的场所，服务场所可嵌入现有服务设施或独立建设。</w:t>
      </w:r>
    </w:p>
    <w:p w14:paraId="2C37C8AA">
      <w:pPr>
        <w:pStyle w:val="165"/>
      </w:pPr>
      <w:r>
        <w:rPr>
          <w:rFonts w:hint="eastAsia"/>
        </w:rPr>
        <w:t>宜配备计算机、打印机、档案橱等必备的办公设备。</w:t>
      </w:r>
    </w:p>
    <w:p w14:paraId="7319DD06">
      <w:pPr>
        <w:pStyle w:val="165"/>
      </w:pPr>
      <w:r>
        <w:rPr>
          <w:rFonts w:hint="eastAsia"/>
        </w:rPr>
        <w:t>宜配备满足知识产权信息公共服务需要的网络环境及软硬件设施设备。</w:t>
      </w:r>
    </w:p>
    <w:p w14:paraId="42412305">
      <w:pPr>
        <w:pStyle w:val="165"/>
      </w:pPr>
      <w:r>
        <w:rPr>
          <w:rFonts w:hint="eastAsia"/>
        </w:rPr>
        <w:t>宜具有自建、购买或租用的知识产权数据库和信息检索分析工具等。</w:t>
      </w:r>
    </w:p>
    <w:p w14:paraId="57E949C3">
      <w:pPr>
        <w:pStyle w:val="105"/>
        <w:spacing w:before="156" w:after="156"/>
      </w:pPr>
      <w:bookmarkStart w:id="57" w:name="_Toc204594290"/>
      <w:r>
        <w:rPr>
          <w:rFonts w:hint="eastAsia"/>
        </w:rPr>
        <w:t>工作制度</w:t>
      </w:r>
      <w:bookmarkEnd w:id="57"/>
    </w:p>
    <w:p w14:paraId="2BBF9A9A">
      <w:pPr>
        <w:pStyle w:val="56"/>
        <w:ind w:firstLine="420"/>
      </w:pPr>
      <w:r>
        <w:rPr>
          <w:rFonts w:hint="eastAsia"/>
        </w:rPr>
        <w:t>宜建立健全的工作制度，明确监督职责，完善执行机制，以保障知识产权信息公共服务有序供给。工作制度包括但不限于：</w:t>
      </w:r>
    </w:p>
    <w:p w14:paraId="709ADAD6">
      <w:pPr>
        <w:pStyle w:val="132"/>
      </w:pPr>
      <w:r>
        <w:rPr>
          <w:rFonts w:hint="eastAsia"/>
        </w:rPr>
        <w:t>机构运行管理；</w:t>
      </w:r>
    </w:p>
    <w:p w14:paraId="7FCA3C39">
      <w:pPr>
        <w:pStyle w:val="132"/>
      </w:pPr>
      <w:r>
        <w:rPr>
          <w:rFonts w:hint="eastAsia"/>
        </w:rPr>
        <w:t>服务流程管理；</w:t>
      </w:r>
    </w:p>
    <w:p w14:paraId="0C7559E9">
      <w:pPr>
        <w:pStyle w:val="132"/>
      </w:pPr>
      <w:r>
        <w:rPr>
          <w:rFonts w:hint="eastAsia"/>
        </w:rPr>
        <w:t>服务质量控制：</w:t>
      </w:r>
    </w:p>
    <w:p w14:paraId="0D06F539">
      <w:pPr>
        <w:pStyle w:val="132"/>
      </w:pPr>
      <w:r>
        <w:rPr>
          <w:rFonts w:hint="eastAsia"/>
        </w:rPr>
        <w:t>人员培养培训；</w:t>
      </w:r>
    </w:p>
    <w:p w14:paraId="5EFA3A50">
      <w:pPr>
        <w:pStyle w:val="132"/>
      </w:pPr>
      <w:r>
        <w:rPr>
          <w:rFonts w:hint="eastAsia"/>
        </w:rPr>
        <w:t>资源工具管理。</w:t>
      </w:r>
    </w:p>
    <w:p w14:paraId="409BE827">
      <w:pPr>
        <w:pStyle w:val="105"/>
        <w:spacing w:before="156" w:after="156"/>
      </w:pPr>
      <w:bookmarkStart w:id="58" w:name="_Toc204594291"/>
      <w:r>
        <w:rPr>
          <w:rFonts w:hint="eastAsia"/>
        </w:rPr>
        <w:t>服务能力</w:t>
      </w:r>
      <w:bookmarkEnd w:id="58"/>
    </w:p>
    <w:p w14:paraId="3825F8E2">
      <w:pPr>
        <w:pStyle w:val="165"/>
      </w:pPr>
      <w:r>
        <w:rPr>
          <w:rFonts w:hint="eastAsia"/>
        </w:rPr>
        <w:t>宜具备针对专利、商标、地理标志等一个或多个知识产权类别开展线上或线下服务的能力。</w:t>
      </w:r>
    </w:p>
    <w:p w14:paraId="23C9D257">
      <w:pPr>
        <w:pStyle w:val="165"/>
      </w:pPr>
      <w:r>
        <w:rPr>
          <w:rFonts w:hint="eastAsia"/>
        </w:rPr>
        <w:t>宜利用知识产权基础信息资源为创新主体和社会公众提供免费或低成本的知识产权信息公共服务，有成功推广的服务案例，并具有一定的社会影响。</w:t>
      </w:r>
    </w:p>
    <w:p w14:paraId="10971E16">
      <w:pPr>
        <w:pStyle w:val="104"/>
        <w:spacing w:before="312" w:after="312"/>
      </w:pPr>
      <w:bookmarkStart w:id="59" w:name="_Toc204594292"/>
      <w:r>
        <w:rPr>
          <w:rFonts w:hint="eastAsia"/>
        </w:rPr>
        <w:t>服务内容</w:t>
      </w:r>
      <w:bookmarkEnd w:id="59"/>
    </w:p>
    <w:p w14:paraId="19A75BA9">
      <w:pPr>
        <w:pStyle w:val="105"/>
        <w:spacing w:before="156" w:after="156"/>
      </w:pPr>
      <w:bookmarkStart w:id="60" w:name="_Toc204594293"/>
      <w:r>
        <w:rPr>
          <w:rFonts w:hint="eastAsia"/>
        </w:rPr>
        <w:t>概述</w:t>
      </w:r>
    </w:p>
    <w:p w14:paraId="3A5AE7EB">
      <w:pPr>
        <w:pStyle w:val="165"/>
      </w:pPr>
      <w:r>
        <w:rPr>
          <w:rFonts w:hint="eastAsia"/>
        </w:rPr>
        <w:t>知识产权信息公共服务的服务内容包括基础服务、专项服务、特色服务。</w:t>
      </w:r>
    </w:p>
    <w:p w14:paraId="4C8000EE">
      <w:pPr>
        <w:pStyle w:val="165"/>
      </w:pPr>
      <w:r>
        <w:rPr>
          <w:rFonts w:hint="eastAsia"/>
        </w:rPr>
        <w:t>省级、市级和其他知识产权信息公共服务机构宜参照本章内容提供服务；国家级知识产权信息公共服务机构可按照国家有关规定对服务内容进行调整。</w:t>
      </w:r>
    </w:p>
    <w:p w14:paraId="1069FA9A">
      <w:pPr>
        <w:pStyle w:val="105"/>
        <w:spacing w:before="156" w:after="156"/>
      </w:pPr>
      <w:r>
        <w:rPr>
          <w:rFonts w:hint="eastAsia"/>
        </w:rPr>
        <w:t>基础服务</w:t>
      </w:r>
      <w:bookmarkEnd w:id="60"/>
    </w:p>
    <w:p w14:paraId="4CBF99CC">
      <w:pPr>
        <w:pStyle w:val="165"/>
      </w:pPr>
      <w:r>
        <w:rPr>
          <w:rFonts w:hint="eastAsia"/>
        </w:rPr>
        <w:t>知识产权信息公共服务机构宜根据自身基础和条件，面向创新主体和社会公众提供基础服务。</w:t>
      </w:r>
    </w:p>
    <w:p w14:paraId="6D7BF542">
      <w:pPr>
        <w:pStyle w:val="165"/>
      </w:pPr>
      <w:r>
        <w:rPr>
          <w:rFonts w:hint="eastAsia"/>
        </w:rPr>
        <w:t>宜提供知识产权咨询服务。充分利用专利、商标、地理标志、集成电路布图设计等知识产权和其他类型的数据资源及检索分析工具，通过电话、网络、窗口等渠道开展知识产权政策、知识产权业务、知识产权公共服务产品等相关咨询服务</w:t>
      </w:r>
      <w:bookmarkStart w:id="61" w:name="_Hlk204676129"/>
      <w:r>
        <w:rPr>
          <w:rFonts w:hint="eastAsia"/>
        </w:rPr>
        <w:t>。</w:t>
      </w:r>
    </w:p>
    <w:bookmarkEnd w:id="61"/>
    <w:p w14:paraId="477CD020">
      <w:pPr>
        <w:pStyle w:val="165"/>
      </w:pPr>
      <w:r>
        <w:rPr>
          <w:rFonts w:hint="eastAsia"/>
        </w:rPr>
        <w:t>宜提供知识产权信息查询检索服务。充分利用知识产权公共服务平台以及公共服务产品，提供专利、商标、地理标志等知识产权基础信息查询和检索服务。</w:t>
      </w:r>
    </w:p>
    <w:p w14:paraId="1A492BE0">
      <w:pPr>
        <w:pStyle w:val="165"/>
      </w:pPr>
      <w:r>
        <w:rPr>
          <w:rFonts w:hint="eastAsia"/>
        </w:rPr>
        <w:t>宜提供知识产权宣传培训服务。通过知识产权公益培训、公益讲座等宣传教育活动，普及知识产权基础知识，宣传知识产权法律法规和政策文件，传播公益性知识产权信息分析利用成果，推广优质知识产权公共服务产品和典型案例，增强全社会知识产权意识。</w:t>
      </w:r>
    </w:p>
    <w:p w14:paraId="0424F876">
      <w:pPr>
        <w:pStyle w:val="165"/>
      </w:pPr>
      <w:r>
        <w:rPr>
          <w:rFonts w:hint="eastAsia"/>
        </w:rPr>
        <w:t>知识产权信息公共服务机构宜根据自身业务范围和工作内容参照附录A提供基础服务。</w:t>
      </w:r>
    </w:p>
    <w:p w14:paraId="195C704E">
      <w:pPr>
        <w:pStyle w:val="105"/>
        <w:spacing w:before="156" w:after="156"/>
      </w:pPr>
      <w:bookmarkStart w:id="62" w:name="_Toc204594294"/>
      <w:r>
        <w:rPr>
          <w:rFonts w:hint="eastAsia"/>
        </w:rPr>
        <w:t>专项服务</w:t>
      </w:r>
      <w:bookmarkEnd w:id="62"/>
    </w:p>
    <w:p w14:paraId="0A4D24F9">
      <w:pPr>
        <w:pStyle w:val="165"/>
      </w:pPr>
      <w:r>
        <w:rPr>
          <w:rFonts w:hint="eastAsia"/>
        </w:rPr>
        <w:t>知识产权信息公共服务机构宜根据自身机构性质、资源、能力及服务对象需求，提供专项服务。</w:t>
      </w:r>
    </w:p>
    <w:p w14:paraId="4C90269E">
      <w:pPr>
        <w:pStyle w:val="165"/>
      </w:pPr>
      <w:r>
        <w:rPr>
          <w:rFonts w:hint="eastAsia"/>
        </w:rPr>
        <w:t>宜面向特定技术领域创新需求，提供知识产权专题数据库建设服务。</w:t>
      </w:r>
    </w:p>
    <w:p w14:paraId="51266426">
      <w:pPr>
        <w:pStyle w:val="165"/>
      </w:pPr>
      <w:r>
        <w:rPr>
          <w:rFonts w:hint="eastAsia"/>
        </w:rPr>
        <w:t>宜面向政府部门、企事业单位、行业组织等各类主体，结合实际需求，开展区域规划、产业规划、企业经营、研发活动、人才管理等专利导航服务。</w:t>
      </w:r>
    </w:p>
    <w:p w14:paraId="48DCDD19">
      <w:pPr>
        <w:pStyle w:val="165"/>
      </w:pPr>
      <w:r>
        <w:rPr>
          <w:rFonts w:hint="eastAsia"/>
        </w:rPr>
        <w:t>宜面向国家和地方重点产业、企业等市场主体开展专利预警服务。</w:t>
      </w:r>
    </w:p>
    <w:p w14:paraId="5C1AD302">
      <w:pPr>
        <w:pStyle w:val="165"/>
      </w:pPr>
      <w:r>
        <w:rPr>
          <w:rFonts w:hint="eastAsia"/>
        </w:rPr>
        <w:t>宜为知识产权保护和运用，特别是确权、维权、交易、转化等提供知识产权信息服务支撑。</w:t>
      </w:r>
    </w:p>
    <w:p w14:paraId="0C1DE625">
      <w:pPr>
        <w:pStyle w:val="165"/>
      </w:pPr>
      <w:r>
        <w:rPr>
          <w:rFonts w:hint="eastAsia"/>
        </w:rPr>
        <w:t>宜面向多层次、多样化知识产权信息服务需求，开发特色化知识产权信息应用工具。</w:t>
      </w:r>
    </w:p>
    <w:p w14:paraId="7212DAED">
      <w:pPr>
        <w:pStyle w:val="105"/>
        <w:spacing w:before="156" w:after="156"/>
      </w:pPr>
      <w:bookmarkStart w:id="63" w:name="_Toc204594295"/>
      <w:r>
        <w:rPr>
          <w:rFonts w:hint="eastAsia"/>
        </w:rPr>
        <w:t>特色服务</w:t>
      </w:r>
      <w:bookmarkEnd w:id="63"/>
    </w:p>
    <w:p w14:paraId="5865ACDC">
      <w:pPr>
        <w:pStyle w:val="165"/>
      </w:pPr>
      <w:r>
        <w:rPr>
          <w:rFonts w:hint="eastAsia"/>
        </w:rPr>
        <w:t>知识产权信息公共服务机构宜结合本单位工作基础，依据行业需求，立足自身资源优势，针对性地开展特色服务。</w:t>
      </w:r>
    </w:p>
    <w:p w14:paraId="4FA54A04">
      <w:pPr>
        <w:pStyle w:val="165"/>
      </w:pPr>
      <w:r>
        <w:rPr>
          <w:rFonts w:hint="eastAsia"/>
        </w:rPr>
        <w:t>技术与创新支持中心（TISC）可提供的特色服务内容包括但不限于：</w:t>
      </w:r>
    </w:p>
    <w:p w14:paraId="131549FB">
      <w:pPr>
        <w:pStyle w:val="132"/>
      </w:pPr>
      <w:r>
        <w:rPr>
          <w:rFonts w:hint="eastAsia"/>
        </w:rPr>
        <w:t>知识产权公共服务产品和工具遴选及定向推送服务；</w:t>
      </w:r>
    </w:p>
    <w:p w14:paraId="32C3E373">
      <w:pPr>
        <w:pStyle w:val="132"/>
      </w:pPr>
      <w:r>
        <w:rPr>
          <w:rFonts w:hint="eastAsia"/>
        </w:rPr>
        <w:t>专利、商标等各类知识产权信息的深度挖掘和分析利用服务；</w:t>
      </w:r>
    </w:p>
    <w:p w14:paraId="1FF96E46">
      <w:pPr>
        <w:pStyle w:val="132"/>
      </w:pPr>
      <w:r>
        <w:rPr>
          <w:rFonts w:hint="eastAsia"/>
        </w:rPr>
        <w:t>专利申请前评估服务；</w:t>
      </w:r>
    </w:p>
    <w:p w14:paraId="3F082F73">
      <w:pPr>
        <w:pStyle w:val="132"/>
      </w:pPr>
      <w:r>
        <w:rPr>
          <w:rFonts w:hint="eastAsia"/>
        </w:rPr>
        <w:t>专利、商标等各类知识产权评估、转让、许可、质押等服务；</w:t>
      </w:r>
    </w:p>
    <w:p w14:paraId="38111536">
      <w:pPr>
        <w:pStyle w:val="132"/>
      </w:pPr>
      <w:r>
        <w:rPr>
          <w:rFonts w:hint="eastAsia"/>
        </w:rPr>
        <w:t>专利开放许可手续办理和使用费估算等方面的专业咨询和指导服务；</w:t>
      </w:r>
    </w:p>
    <w:p w14:paraId="02678892">
      <w:pPr>
        <w:pStyle w:val="132"/>
      </w:pPr>
      <w:r>
        <w:rPr>
          <w:rFonts w:hint="eastAsia"/>
        </w:rPr>
        <w:t>专利稳定性检索、专利侵权检索、侵权预警分析、无效应诉、海外维权指导等服务；</w:t>
      </w:r>
    </w:p>
    <w:p w14:paraId="58EEF53F">
      <w:pPr>
        <w:pStyle w:val="132"/>
      </w:pPr>
      <w:r>
        <w:rPr>
          <w:rFonts w:hint="eastAsia"/>
        </w:rPr>
        <w:t>企业技术引进、境外投资、国际参展、产品进出口等活动相关的知识产权风险预警服务。</w:t>
      </w:r>
    </w:p>
    <w:p w14:paraId="6243522C">
      <w:pPr>
        <w:pStyle w:val="165"/>
      </w:pPr>
      <w:r>
        <w:rPr>
          <w:rFonts w:hint="eastAsia"/>
        </w:rPr>
        <w:t>高校类信息公共服务机构可提供的特色服务内容包括但不限于：</w:t>
      </w:r>
    </w:p>
    <w:p w14:paraId="4BB43C1F">
      <w:pPr>
        <w:pStyle w:val="132"/>
      </w:pPr>
      <w:r>
        <w:rPr>
          <w:rFonts w:hint="eastAsia"/>
        </w:rPr>
        <w:t>面向高校师生开设知识产权基础与实务课程；</w:t>
      </w:r>
    </w:p>
    <w:p w14:paraId="5C735ECE">
      <w:pPr>
        <w:pStyle w:val="132"/>
      </w:pPr>
      <w:r>
        <w:rPr>
          <w:rFonts w:hint="eastAsia"/>
        </w:rPr>
        <w:t>主办或组织参加各级各类知识产权检索分析竞赛和训练营；</w:t>
      </w:r>
    </w:p>
    <w:p w14:paraId="5108F41B">
      <w:pPr>
        <w:pStyle w:val="132"/>
      </w:pPr>
      <w:r>
        <w:rPr>
          <w:rFonts w:hint="eastAsia"/>
        </w:rPr>
        <w:t>建立高校知识产权档案库，实现知识产权数据与科研人员、所属学科、科研项目等关联信息的动态管理和可查可用；</w:t>
      </w:r>
    </w:p>
    <w:p w14:paraId="5F897F88">
      <w:pPr>
        <w:pStyle w:val="132"/>
      </w:pPr>
      <w:r>
        <w:rPr>
          <w:rFonts w:hint="eastAsia"/>
        </w:rPr>
        <w:t>围绕高校优势学科和重点产业需求建设专题数据库并向社会开放；</w:t>
      </w:r>
    </w:p>
    <w:p w14:paraId="38EE6870">
      <w:pPr>
        <w:pStyle w:val="132"/>
      </w:pPr>
      <w:r>
        <w:rPr>
          <w:rFonts w:hint="eastAsia"/>
        </w:rPr>
        <w:t>自由运作权分析（FTO）或侵权检索分析服务；</w:t>
      </w:r>
    </w:p>
    <w:p w14:paraId="2D2956F9">
      <w:pPr>
        <w:pStyle w:val="132"/>
      </w:pPr>
      <w:r>
        <w:rPr>
          <w:rFonts w:hint="eastAsia"/>
        </w:rPr>
        <w:t>构建专利转化资源库，开展专利对接推介、专利转化和高校职务科技成果分析评议。</w:t>
      </w:r>
    </w:p>
    <w:p w14:paraId="25FA5079">
      <w:pPr>
        <w:pStyle w:val="165"/>
      </w:pPr>
      <w:r>
        <w:rPr>
          <w:rFonts w:hint="eastAsia"/>
        </w:rPr>
        <w:t>科研院所、科技情报机构类信息公共服务机构可提供的特色服务内容包括但不限于：</w:t>
      </w:r>
    </w:p>
    <w:p w14:paraId="0EEDE669">
      <w:pPr>
        <w:pStyle w:val="132"/>
      </w:pPr>
      <w:r>
        <w:rPr>
          <w:rFonts w:hint="eastAsia"/>
        </w:rPr>
        <w:t>为科技项目的立项、研发、产出成果等全流程提供知识产权信息利用服务，促进研发成果形成高质量知识产权，助力研发成果转移转化；</w:t>
      </w:r>
    </w:p>
    <w:p w14:paraId="57AD0350">
      <w:pPr>
        <w:pStyle w:val="132"/>
      </w:pPr>
      <w:r>
        <w:rPr>
          <w:rFonts w:hint="eastAsia"/>
        </w:rPr>
        <w:t>开展行业专利信息分析，服务区域经济和产业发展。</w:t>
      </w:r>
    </w:p>
    <w:p w14:paraId="2365049B">
      <w:pPr>
        <w:pStyle w:val="165"/>
      </w:pPr>
      <w:r>
        <w:rPr>
          <w:rFonts w:hint="eastAsia"/>
        </w:rPr>
        <w:t>行业组织类信息公共服务机构可提供的特色服务内容包括但不限于：</w:t>
      </w:r>
    </w:p>
    <w:p w14:paraId="756E8167">
      <w:pPr>
        <w:pStyle w:val="132"/>
      </w:pPr>
      <w:r>
        <w:rPr>
          <w:rFonts w:hint="eastAsia"/>
        </w:rPr>
        <w:t>加强横向合作，发挥桥梁和纽带作用，将知识产权信息传播利用融入行业服务；</w:t>
      </w:r>
    </w:p>
    <w:p w14:paraId="2B67371E">
      <w:pPr>
        <w:pStyle w:val="132"/>
      </w:pPr>
      <w:r>
        <w:rPr>
          <w:rFonts w:hint="eastAsia"/>
        </w:rPr>
        <w:t>建立行业专题数据库，面向成员单位开展信息传播利用、信息推送等服务；</w:t>
      </w:r>
    </w:p>
    <w:p w14:paraId="31BA468D">
      <w:pPr>
        <w:pStyle w:val="132"/>
      </w:pPr>
      <w:r>
        <w:rPr>
          <w:rFonts w:hint="eastAsia"/>
        </w:rPr>
        <w:t>面向本行业领域开展相应的专利导航分析服务。</w:t>
      </w:r>
    </w:p>
    <w:p w14:paraId="52316218">
      <w:pPr>
        <w:pStyle w:val="165"/>
      </w:pPr>
      <w:r>
        <w:rPr>
          <w:rFonts w:hint="eastAsia"/>
        </w:rPr>
        <w:t>生产力促进机构类信息公共服务机构可提供的特色服务内容包括但不限于：</w:t>
      </w:r>
    </w:p>
    <w:p w14:paraId="4B8D0883">
      <w:pPr>
        <w:pStyle w:val="132"/>
      </w:pPr>
      <w:r>
        <w:rPr>
          <w:rFonts w:hint="eastAsia"/>
        </w:rPr>
        <w:t>发挥生产要素聚集优势，通过专利技术帮扶支持等形式，为中小企业提供知识产权布局、维权、风险防范等服务；</w:t>
      </w:r>
    </w:p>
    <w:p w14:paraId="7C8C629A">
      <w:pPr>
        <w:pStyle w:val="132"/>
      </w:pPr>
      <w:r>
        <w:rPr>
          <w:rFonts w:hint="eastAsia"/>
        </w:rPr>
        <w:t>为企业搭建交流平台，推进产学研合作和整合创新资源。</w:t>
      </w:r>
    </w:p>
    <w:p w14:paraId="30AFA60E">
      <w:pPr>
        <w:pStyle w:val="165"/>
      </w:pPr>
      <w:r>
        <w:rPr>
          <w:rFonts w:hint="eastAsia"/>
        </w:rPr>
        <w:t>公共图书馆、博物馆等信息公共服务机构可提供的特色服务内容包括但不限于：</w:t>
      </w:r>
    </w:p>
    <w:p w14:paraId="5D824784">
      <w:pPr>
        <w:pStyle w:val="132"/>
      </w:pPr>
      <w:r>
        <w:rPr>
          <w:rFonts w:hint="eastAsia"/>
        </w:rPr>
        <w:t>发挥场地资源齐备、受众广泛等优势，重点开展面向社会公众的知识产权宣传普及活动；</w:t>
      </w:r>
    </w:p>
    <w:p w14:paraId="69FE8A63">
      <w:pPr>
        <w:pStyle w:val="132"/>
      </w:pPr>
      <w:r>
        <w:rPr>
          <w:rFonts w:hint="eastAsia"/>
        </w:rPr>
        <w:t>举办展览、讲座、阅读推广等活动，增强公众知识产权意识，推动知识产权基础知识传播。</w:t>
      </w:r>
    </w:p>
    <w:p w14:paraId="650FE655">
      <w:pPr>
        <w:pStyle w:val="104"/>
        <w:spacing w:before="312" w:after="312"/>
      </w:pPr>
      <w:bookmarkStart w:id="64" w:name="_Toc204594296"/>
      <w:r>
        <w:rPr>
          <w:rFonts w:hint="eastAsia"/>
        </w:rPr>
        <w:t>服务流程</w:t>
      </w:r>
      <w:bookmarkEnd w:id="64"/>
    </w:p>
    <w:p w14:paraId="2E043A13">
      <w:pPr>
        <w:pStyle w:val="105"/>
        <w:spacing w:before="156" w:after="156"/>
      </w:pPr>
      <w:bookmarkStart w:id="65" w:name="_Toc204594297"/>
      <w:r>
        <w:rPr>
          <w:rFonts w:hint="eastAsia"/>
        </w:rPr>
        <w:t>服务告知</w:t>
      </w:r>
      <w:bookmarkEnd w:id="65"/>
    </w:p>
    <w:p w14:paraId="7334B3A8">
      <w:pPr>
        <w:pStyle w:val="56"/>
        <w:ind w:firstLine="420"/>
      </w:pPr>
      <w:r>
        <w:rPr>
          <w:rFonts w:hint="eastAsia"/>
        </w:rPr>
        <w:t>知识产权信息公共服务机构宜在工作场所对外公示网点的专业资质、服务范围、工作流程、服务时间、咨询和投诉电话以及服务承诺等规范。</w:t>
      </w:r>
    </w:p>
    <w:p w14:paraId="47DD1C2E">
      <w:pPr>
        <w:pStyle w:val="105"/>
        <w:spacing w:before="156" w:after="156"/>
      </w:pPr>
      <w:bookmarkStart w:id="66" w:name="_Toc204594298"/>
      <w:r>
        <w:rPr>
          <w:rFonts w:hint="eastAsia"/>
        </w:rPr>
        <w:t>服务咨询</w:t>
      </w:r>
      <w:bookmarkEnd w:id="66"/>
    </w:p>
    <w:p w14:paraId="088EFD23">
      <w:pPr>
        <w:pStyle w:val="56"/>
        <w:ind w:firstLine="420"/>
      </w:pPr>
      <w:r>
        <w:rPr>
          <w:rFonts w:hint="eastAsia"/>
        </w:rPr>
        <w:t>宜为服务对象提供业务相关详细介绍和服务须知等资料，对于基础服务需求，应及时提供咨询及答疑意见。对于专项服务和特色服务，可根据情况制定服务方案。</w:t>
      </w:r>
    </w:p>
    <w:p w14:paraId="7091D4D2">
      <w:pPr>
        <w:pStyle w:val="105"/>
        <w:spacing w:before="156" w:after="156"/>
      </w:pPr>
      <w:bookmarkStart w:id="67" w:name="_Toc204594299"/>
      <w:r>
        <w:rPr>
          <w:rFonts w:hint="eastAsia"/>
        </w:rPr>
        <w:t>服务实施</w:t>
      </w:r>
      <w:bookmarkEnd w:id="67"/>
      <w:r>
        <w:rPr>
          <w:rFonts w:hint="eastAsia"/>
        </w:rPr>
        <w:t>（本项内容只体现了提供检索及分析报告的服务流程）</w:t>
      </w:r>
    </w:p>
    <w:p w14:paraId="259E6378">
      <w:pPr>
        <w:pStyle w:val="165"/>
      </w:pPr>
      <w:r>
        <w:rPr>
          <w:rFonts w:hint="eastAsia"/>
        </w:rPr>
        <w:t>明确提供服务的工作人员、职责分工、工作计划、完成时限，指定专人与服务对象沟通工作进展。</w:t>
      </w:r>
    </w:p>
    <w:p w14:paraId="485AAAB7">
      <w:pPr>
        <w:pStyle w:val="165"/>
      </w:pPr>
      <w:r>
        <w:rPr>
          <w:rFonts w:hint="eastAsia"/>
        </w:rPr>
        <w:t>及时、准确了解服务对象的需求，明确知识产权基本情况，确定实施方案。</w:t>
      </w:r>
    </w:p>
    <w:p w14:paraId="59540A31">
      <w:pPr>
        <w:pStyle w:val="165"/>
      </w:pPr>
      <w:r>
        <w:rPr>
          <w:rFonts w:hint="eastAsia"/>
        </w:rPr>
        <w:t>根据服务内容，开展资料收集、选择检索工具、确定检索策略、数据信息处理、知识产权分析、撰写报告等相关工作。</w:t>
      </w:r>
    </w:p>
    <w:p w14:paraId="0817E03B">
      <w:pPr>
        <w:pStyle w:val="165"/>
      </w:pPr>
      <w:r>
        <w:rPr>
          <w:rFonts w:hint="eastAsia"/>
        </w:rPr>
        <w:t>前期调研。包括前期资料收集、技术分类、技术调研、构建技术分解表、检索相关司法案例或法律法规等，选择适当的分析工具和方法。</w:t>
      </w:r>
    </w:p>
    <w:p w14:paraId="1701F687">
      <w:pPr>
        <w:pStyle w:val="165"/>
      </w:pPr>
      <w:r>
        <w:rPr>
          <w:rFonts w:hint="eastAsia"/>
        </w:rPr>
        <w:t>数据采集及处理。包括确定信息来源、选择检索工具、制定检索策略及检索式、实施检索，整理知识产权信息数据或相关案例，进行数据规范化处理、标引工作。</w:t>
      </w:r>
    </w:p>
    <w:p w14:paraId="415B4A45">
      <w:pPr>
        <w:pStyle w:val="165"/>
      </w:pPr>
      <w:r>
        <w:rPr>
          <w:rFonts w:hint="eastAsia"/>
        </w:rPr>
        <w:t>信息分析及报告撰写，工作包括但不限于：</w:t>
      </w:r>
    </w:p>
    <w:p w14:paraId="663D1FDE">
      <w:pPr>
        <w:pStyle w:val="56"/>
        <w:ind w:firstLine="420"/>
      </w:pPr>
      <w:r>
        <w:rPr>
          <w:rFonts w:hint="eastAsia"/>
        </w:rPr>
        <w:t>——知识产权信息分析类报告，包括挖掘数据关联关系、建立专利导航分析模型、知识产权主题多维度分析、数据可视化、综合评估结果，报告内容包括项目背景、拟解决的问题、研究方法与检索策略、对比文件、主要分析内容、重点竞争对手、主要结论、对策建议等；</w:t>
      </w:r>
    </w:p>
    <w:p w14:paraId="51FC6994">
      <w:pPr>
        <w:pStyle w:val="56"/>
        <w:ind w:firstLine="420"/>
      </w:pPr>
      <w:r>
        <w:rPr>
          <w:rFonts w:hint="eastAsia"/>
        </w:rPr>
        <w:t>——信息预警或法律分析类报告，报告应明确检索日期、市场类型，提供产品分析、法律法规分析、知识产权稳定性分析、侵权风险分析、纠纷处理法律建议、规避风险的可行性方案等。</w:t>
      </w:r>
    </w:p>
    <w:p w14:paraId="5B6B3C1D">
      <w:pPr>
        <w:pStyle w:val="165"/>
      </w:pPr>
      <w:r>
        <w:rPr>
          <w:rFonts w:hint="eastAsia"/>
        </w:rPr>
        <w:t>建立质量控制机制，对服务成果进行审核及质量评估。</w:t>
      </w:r>
    </w:p>
    <w:p w14:paraId="3BEE0D36">
      <w:pPr>
        <w:pStyle w:val="165"/>
      </w:pPr>
      <w:r>
        <w:rPr>
          <w:rFonts w:hint="eastAsia"/>
        </w:rPr>
        <w:t>成果交付。在规定时间内，按约定向服务对象提供内容清晰、完整的服务成果；与服务对象交流，提供服务成果的运用及实施建议。</w:t>
      </w:r>
    </w:p>
    <w:p w14:paraId="367DA0F1">
      <w:pPr>
        <w:pStyle w:val="104"/>
        <w:spacing w:before="312" w:after="312"/>
      </w:pPr>
      <w:bookmarkStart w:id="68" w:name="_Toc204594300"/>
      <w:r>
        <w:rPr>
          <w:rFonts w:hint="eastAsia"/>
        </w:rPr>
        <w:t>服务质量提升</w:t>
      </w:r>
      <w:bookmarkEnd w:id="68"/>
    </w:p>
    <w:p w14:paraId="0C940C9B">
      <w:pPr>
        <w:pStyle w:val="162"/>
      </w:pPr>
      <w:r>
        <w:rPr>
          <w:rFonts w:hint="eastAsia"/>
        </w:rPr>
        <w:t>知识产权信息公共服务机构宜通过适宜的方式寻找和发现本单位开展知识产权信息公共服务存在的问题。相关方式可包括但不限于：</w:t>
      </w:r>
    </w:p>
    <w:p w14:paraId="26B43BA0">
      <w:pPr>
        <w:pStyle w:val="174"/>
      </w:pPr>
      <w:r>
        <w:rPr>
          <w:rFonts w:hint="eastAsia"/>
        </w:rPr>
        <w:t>单位内部评价；</w:t>
      </w:r>
    </w:p>
    <w:p w14:paraId="6B602E22">
      <w:pPr>
        <w:pStyle w:val="174"/>
      </w:pPr>
      <w:r>
        <w:rPr>
          <w:rFonts w:hint="eastAsia"/>
        </w:rPr>
        <w:t>知识产权管理部门评价或建议；</w:t>
      </w:r>
    </w:p>
    <w:p w14:paraId="63D6B35A">
      <w:pPr>
        <w:pStyle w:val="174"/>
      </w:pPr>
      <w:r>
        <w:rPr>
          <w:rFonts w:hint="eastAsia"/>
        </w:rPr>
        <w:t>创新创业主体、社会公众等服务对象的评价、投诉、留言及问卷调查等；</w:t>
      </w:r>
    </w:p>
    <w:p w14:paraId="3EAB7E34">
      <w:pPr>
        <w:pStyle w:val="174"/>
      </w:pPr>
      <w:r>
        <w:rPr>
          <w:rFonts w:hint="eastAsia"/>
        </w:rPr>
        <w:t>各种媒体的报道；</w:t>
      </w:r>
    </w:p>
    <w:p w14:paraId="54156A0E">
      <w:pPr>
        <w:pStyle w:val="174"/>
      </w:pPr>
      <w:r>
        <w:rPr>
          <w:rFonts w:hint="eastAsia"/>
        </w:rPr>
        <w:t>行业报告及论文。</w:t>
      </w:r>
    </w:p>
    <w:p w14:paraId="54927AC5">
      <w:pPr>
        <w:pStyle w:val="162"/>
      </w:pPr>
      <w:r>
        <w:rPr>
          <w:rFonts w:hint="eastAsia"/>
        </w:rPr>
        <w:t>知识产权信息公共服务机构宜建立“发现问题-核实问题-整改问题-回访问题-改进提升"循环提升的工作机制，确保本机构符合知识产权管理部门要求，具备持续满足服务对象需求的能力和活力，不断提升服务质量，宜考虑以下内容：</w:t>
      </w:r>
    </w:p>
    <w:p w14:paraId="127CAFAF">
      <w:pPr>
        <w:pStyle w:val="174"/>
        <w:numPr>
          <w:ilvl w:val="0"/>
          <w:numId w:val="32"/>
        </w:numPr>
      </w:pPr>
      <w:r>
        <w:rPr>
          <w:rFonts w:hint="eastAsia"/>
        </w:rPr>
        <w:t>分析已发现问题的影响范围和程度；</w:t>
      </w:r>
    </w:p>
    <w:p w14:paraId="546C976D">
      <w:pPr>
        <w:pStyle w:val="174"/>
      </w:pPr>
      <w:r>
        <w:rPr>
          <w:rFonts w:hint="eastAsia"/>
        </w:rPr>
        <w:t>识别和提出需改进或创新的需求；</w:t>
      </w:r>
    </w:p>
    <w:p w14:paraId="64FA1C0B">
      <w:pPr>
        <w:pStyle w:val="174"/>
      </w:pPr>
      <w:r>
        <w:rPr>
          <w:rFonts w:hint="eastAsia"/>
        </w:rPr>
        <w:t>适时更新服务工作制度，明确改进或创新服务项目流程、纠正问题采取的措施、提升服务质量的考核内容等，保持相关配套制度的有效性和适配性；</w:t>
      </w:r>
    </w:p>
    <w:p w14:paraId="6A12BDF7">
      <w:pPr>
        <w:pStyle w:val="174"/>
      </w:pPr>
      <w:r>
        <w:rPr>
          <w:rFonts w:hint="eastAsia"/>
        </w:rPr>
        <w:t>开展频率和奖惩适度的内部考核。</w:t>
      </w:r>
    </w:p>
    <w:p w14:paraId="6C0EA31D">
      <w:pPr>
        <w:pStyle w:val="174"/>
        <w:sectPr>
          <w:pgSz w:w="11906" w:h="16838"/>
          <w:pgMar w:top="1928" w:right="1134" w:bottom="1134" w:left="1134" w:header="1418" w:footer="1134" w:gutter="284"/>
          <w:pgNumType w:start="1"/>
          <w:cols w:space="425" w:num="1"/>
          <w:formProt w:val="0"/>
          <w:docGrid w:type="lines" w:linePitch="312" w:charSpace="0"/>
        </w:sectPr>
      </w:pPr>
    </w:p>
    <w:bookmarkEnd w:id="23"/>
    <w:p w14:paraId="08948F71">
      <w:pPr>
        <w:pStyle w:val="198"/>
        <w:rPr>
          <w:rFonts w:hint="eastAsia"/>
          <w:vanish w:val="0"/>
        </w:rPr>
      </w:pPr>
      <w:bookmarkStart w:id="69" w:name="BookMark5"/>
    </w:p>
    <w:p w14:paraId="464F97ED">
      <w:pPr>
        <w:pStyle w:val="199"/>
        <w:rPr>
          <w:vanish w:val="0"/>
        </w:rPr>
      </w:pPr>
    </w:p>
    <w:p w14:paraId="76842993">
      <w:pPr>
        <w:pStyle w:val="76"/>
        <w:spacing w:after="156"/>
      </w:pPr>
      <w:r>
        <w:br w:type="textWrapping"/>
      </w:r>
      <w:r>
        <w:rPr>
          <w:rFonts w:hint="eastAsia"/>
        </w:rPr>
        <w:t>（规范性）</w:t>
      </w:r>
      <w:r>
        <w:br w:type="textWrapping"/>
      </w:r>
      <w:r>
        <w:rPr>
          <w:rFonts w:hint="eastAsia"/>
        </w:rPr>
        <w:t>知识产权信息公共服务基础服务事项清单</w:t>
      </w:r>
    </w:p>
    <w:p w14:paraId="473BDB5F">
      <w:pPr>
        <w:pStyle w:val="56"/>
        <w:ind w:firstLine="420"/>
      </w:pPr>
      <w:r>
        <w:rPr>
          <w:rFonts w:hint="eastAsia"/>
        </w:rPr>
        <w:t>知识产权信息公共服务基础服务事项清单见表A.1。</w:t>
      </w:r>
    </w:p>
    <w:p w14:paraId="5E5BA5CC">
      <w:pPr>
        <w:pStyle w:val="77"/>
        <w:spacing w:before="156" w:after="156"/>
      </w:pPr>
      <w:r>
        <w:rPr>
          <w:rFonts w:hint="eastAsia"/>
        </w:rPr>
        <w:t>知识产权信息公共服务基础服务事项清单</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3260"/>
        <w:gridCol w:w="5375"/>
      </w:tblGrid>
      <w:tr w14:paraId="78B56F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99" w:type="dxa"/>
            <w:tcBorders>
              <w:top w:val="single" w:color="auto" w:sz="8" w:space="0"/>
              <w:bottom w:val="single" w:color="auto" w:sz="8" w:space="0"/>
            </w:tcBorders>
            <w:vAlign w:val="center"/>
          </w:tcPr>
          <w:p w14:paraId="7CF47E96">
            <w:pPr>
              <w:pStyle w:val="178"/>
            </w:pPr>
            <w:r>
              <w:rPr>
                <w:rFonts w:hint="eastAsia"/>
              </w:rPr>
              <w:t>序号</w:t>
            </w:r>
          </w:p>
        </w:tc>
        <w:tc>
          <w:tcPr>
            <w:tcW w:w="3260" w:type="dxa"/>
            <w:tcBorders>
              <w:top w:val="single" w:color="auto" w:sz="8" w:space="0"/>
              <w:bottom w:val="single" w:color="auto" w:sz="8" w:space="0"/>
            </w:tcBorders>
          </w:tcPr>
          <w:p w14:paraId="4AA94DE2">
            <w:pPr>
              <w:pStyle w:val="178"/>
            </w:pPr>
            <w:r>
              <w:rPr>
                <w:rFonts w:hint="eastAsia"/>
              </w:rPr>
              <w:t>基础服务类别</w:t>
            </w:r>
          </w:p>
        </w:tc>
        <w:tc>
          <w:tcPr>
            <w:tcW w:w="5375" w:type="dxa"/>
            <w:tcBorders>
              <w:top w:val="single" w:color="auto" w:sz="8" w:space="0"/>
              <w:bottom w:val="single" w:color="auto" w:sz="8" w:space="0"/>
            </w:tcBorders>
            <w:vAlign w:val="center"/>
          </w:tcPr>
          <w:p w14:paraId="5C1DA7A6">
            <w:pPr>
              <w:pStyle w:val="178"/>
            </w:pPr>
            <w:r>
              <w:rPr>
                <w:rFonts w:hint="eastAsia"/>
              </w:rPr>
              <w:t>基础服务事项</w:t>
            </w:r>
          </w:p>
        </w:tc>
      </w:tr>
      <w:tr w14:paraId="4455C1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Borders>
              <w:top w:val="single" w:color="auto" w:sz="8" w:space="0"/>
            </w:tcBorders>
            <w:vAlign w:val="center"/>
          </w:tcPr>
          <w:p w14:paraId="637A1CA7">
            <w:pPr>
              <w:pStyle w:val="178"/>
              <w:numPr>
                <w:ilvl w:val="0"/>
                <w:numId w:val="33"/>
              </w:numPr>
            </w:pPr>
          </w:p>
        </w:tc>
        <w:tc>
          <w:tcPr>
            <w:tcW w:w="3260" w:type="dxa"/>
            <w:vMerge w:val="restart"/>
            <w:tcBorders>
              <w:top w:val="single" w:color="auto" w:sz="8" w:space="0"/>
            </w:tcBorders>
            <w:vAlign w:val="center"/>
          </w:tcPr>
          <w:p w14:paraId="5EAA1F3D">
            <w:pPr>
              <w:pStyle w:val="178"/>
            </w:pPr>
            <w:r>
              <w:rPr>
                <w:rFonts w:hint="eastAsia"/>
              </w:rPr>
              <w:t>知识产权咨询服务</w:t>
            </w:r>
          </w:p>
        </w:tc>
        <w:tc>
          <w:tcPr>
            <w:tcW w:w="5375" w:type="dxa"/>
            <w:tcBorders>
              <w:top w:val="single" w:color="auto" w:sz="8" w:space="0"/>
            </w:tcBorders>
            <w:vAlign w:val="center"/>
          </w:tcPr>
          <w:p w14:paraId="3F7D4891">
            <w:pPr>
              <w:pStyle w:val="178"/>
            </w:pPr>
            <w:r>
              <w:rPr>
                <w:rFonts w:hint="eastAsia"/>
              </w:rPr>
              <w:t>专利申请受理服务咨询</w:t>
            </w:r>
          </w:p>
        </w:tc>
      </w:tr>
      <w:tr w14:paraId="5E6587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28F15CD5">
            <w:pPr>
              <w:pStyle w:val="178"/>
              <w:numPr>
                <w:ilvl w:val="0"/>
                <w:numId w:val="33"/>
              </w:numPr>
            </w:pPr>
          </w:p>
        </w:tc>
        <w:tc>
          <w:tcPr>
            <w:tcW w:w="3260" w:type="dxa"/>
            <w:vMerge w:val="continue"/>
          </w:tcPr>
          <w:p w14:paraId="4E832514">
            <w:pPr>
              <w:pStyle w:val="178"/>
            </w:pPr>
          </w:p>
        </w:tc>
        <w:tc>
          <w:tcPr>
            <w:tcW w:w="5375" w:type="dxa"/>
            <w:vAlign w:val="center"/>
          </w:tcPr>
          <w:p w14:paraId="183257F8">
            <w:pPr>
              <w:pStyle w:val="178"/>
            </w:pPr>
            <w:r>
              <w:rPr>
                <w:rFonts w:hint="eastAsia"/>
              </w:rPr>
              <w:t>专利优先审查受理服务咨询</w:t>
            </w:r>
          </w:p>
        </w:tc>
      </w:tr>
      <w:tr w14:paraId="3D999D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780E30D8">
            <w:pPr>
              <w:pStyle w:val="178"/>
              <w:numPr>
                <w:ilvl w:val="0"/>
                <w:numId w:val="33"/>
              </w:numPr>
            </w:pPr>
          </w:p>
        </w:tc>
        <w:tc>
          <w:tcPr>
            <w:tcW w:w="3260" w:type="dxa"/>
            <w:vMerge w:val="continue"/>
          </w:tcPr>
          <w:p w14:paraId="5374BBA3">
            <w:pPr>
              <w:pStyle w:val="178"/>
            </w:pPr>
          </w:p>
        </w:tc>
        <w:tc>
          <w:tcPr>
            <w:tcW w:w="5375" w:type="dxa"/>
            <w:vAlign w:val="center"/>
          </w:tcPr>
          <w:p w14:paraId="404F4F15">
            <w:pPr>
              <w:pStyle w:val="178"/>
            </w:pPr>
            <w:r>
              <w:rPr>
                <w:rFonts w:hint="eastAsia"/>
              </w:rPr>
              <w:t>专利预审申请受理服务咨询</w:t>
            </w:r>
          </w:p>
        </w:tc>
      </w:tr>
      <w:tr w14:paraId="535292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493E7B59">
            <w:pPr>
              <w:pStyle w:val="178"/>
              <w:numPr>
                <w:ilvl w:val="0"/>
                <w:numId w:val="33"/>
              </w:numPr>
            </w:pPr>
          </w:p>
        </w:tc>
        <w:tc>
          <w:tcPr>
            <w:tcW w:w="3260" w:type="dxa"/>
            <w:vMerge w:val="continue"/>
          </w:tcPr>
          <w:p w14:paraId="7D0EDD98">
            <w:pPr>
              <w:pStyle w:val="178"/>
            </w:pPr>
          </w:p>
        </w:tc>
        <w:tc>
          <w:tcPr>
            <w:tcW w:w="5375" w:type="dxa"/>
            <w:vAlign w:val="center"/>
          </w:tcPr>
          <w:p w14:paraId="3E580F5F">
            <w:pPr>
              <w:pStyle w:val="178"/>
            </w:pPr>
            <w:r>
              <w:rPr>
                <w:rFonts w:hint="eastAsia"/>
              </w:rPr>
              <w:t>专利费用减缴申请受理服务咨询</w:t>
            </w:r>
          </w:p>
        </w:tc>
      </w:tr>
      <w:tr w14:paraId="6763A7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21D64313">
            <w:pPr>
              <w:pStyle w:val="178"/>
              <w:numPr>
                <w:ilvl w:val="0"/>
                <w:numId w:val="33"/>
              </w:numPr>
            </w:pPr>
          </w:p>
        </w:tc>
        <w:tc>
          <w:tcPr>
            <w:tcW w:w="3260" w:type="dxa"/>
            <w:vMerge w:val="continue"/>
          </w:tcPr>
          <w:p w14:paraId="33D7F4C3">
            <w:pPr>
              <w:pStyle w:val="178"/>
            </w:pPr>
          </w:p>
        </w:tc>
        <w:tc>
          <w:tcPr>
            <w:tcW w:w="5375" w:type="dxa"/>
            <w:vAlign w:val="center"/>
          </w:tcPr>
          <w:p w14:paraId="7ED5B3E7">
            <w:pPr>
              <w:pStyle w:val="178"/>
            </w:pPr>
            <w:r>
              <w:rPr>
                <w:rFonts w:hint="eastAsia"/>
              </w:rPr>
              <w:t>专利登记簿副本出具服务咨询</w:t>
            </w:r>
          </w:p>
        </w:tc>
      </w:tr>
      <w:tr w14:paraId="202680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7524239C">
            <w:pPr>
              <w:pStyle w:val="178"/>
              <w:numPr>
                <w:ilvl w:val="0"/>
                <w:numId w:val="33"/>
              </w:numPr>
            </w:pPr>
          </w:p>
        </w:tc>
        <w:tc>
          <w:tcPr>
            <w:tcW w:w="3260" w:type="dxa"/>
            <w:vMerge w:val="continue"/>
          </w:tcPr>
          <w:p w14:paraId="0677055F">
            <w:pPr>
              <w:pStyle w:val="178"/>
            </w:pPr>
          </w:p>
        </w:tc>
        <w:tc>
          <w:tcPr>
            <w:tcW w:w="5375" w:type="dxa"/>
            <w:vAlign w:val="center"/>
          </w:tcPr>
          <w:p w14:paraId="1F15BDFE">
            <w:pPr>
              <w:pStyle w:val="178"/>
            </w:pPr>
            <w:r>
              <w:rPr>
                <w:rFonts w:hint="eastAsia"/>
              </w:rPr>
              <w:t>专利实施许可合同备案办理服务咨询</w:t>
            </w:r>
          </w:p>
        </w:tc>
      </w:tr>
      <w:tr w14:paraId="373505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002650E5">
            <w:pPr>
              <w:pStyle w:val="178"/>
              <w:numPr>
                <w:ilvl w:val="0"/>
                <w:numId w:val="33"/>
              </w:numPr>
            </w:pPr>
          </w:p>
        </w:tc>
        <w:tc>
          <w:tcPr>
            <w:tcW w:w="3260" w:type="dxa"/>
            <w:vMerge w:val="continue"/>
          </w:tcPr>
          <w:p w14:paraId="58FA206E">
            <w:pPr>
              <w:pStyle w:val="178"/>
            </w:pPr>
          </w:p>
        </w:tc>
        <w:tc>
          <w:tcPr>
            <w:tcW w:w="5375" w:type="dxa"/>
            <w:vAlign w:val="center"/>
          </w:tcPr>
          <w:p w14:paraId="0EBB017E">
            <w:pPr>
              <w:pStyle w:val="178"/>
            </w:pPr>
            <w:r>
              <w:rPr>
                <w:rFonts w:hint="eastAsia"/>
              </w:rPr>
              <w:t>专利权人专利开放许可声明受理服务咨询</w:t>
            </w:r>
          </w:p>
        </w:tc>
      </w:tr>
      <w:tr w14:paraId="023C5C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081B51F3">
            <w:pPr>
              <w:pStyle w:val="178"/>
              <w:numPr>
                <w:ilvl w:val="0"/>
                <w:numId w:val="33"/>
              </w:numPr>
            </w:pPr>
          </w:p>
        </w:tc>
        <w:tc>
          <w:tcPr>
            <w:tcW w:w="3260" w:type="dxa"/>
            <w:vMerge w:val="continue"/>
          </w:tcPr>
          <w:p w14:paraId="1B237B3F">
            <w:pPr>
              <w:pStyle w:val="178"/>
            </w:pPr>
          </w:p>
        </w:tc>
        <w:tc>
          <w:tcPr>
            <w:tcW w:w="5375" w:type="dxa"/>
            <w:vAlign w:val="center"/>
          </w:tcPr>
          <w:p w14:paraId="3B3BDA8E">
            <w:pPr>
              <w:pStyle w:val="178"/>
            </w:pPr>
            <w:r>
              <w:rPr>
                <w:rFonts w:hint="eastAsia"/>
              </w:rPr>
              <w:t>专利权质押登记办理服务咨询</w:t>
            </w:r>
          </w:p>
        </w:tc>
      </w:tr>
      <w:tr w14:paraId="12F87D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60A3DF65">
            <w:pPr>
              <w:pStyle w:val="178"/>
              <w:numPr>
                <w:ilvl w:val="0"/>
                <w:numId w:val="33"/>
              </w:numPr>
            </w:pPr>
          </w:p>
        </w:tc>
        <w:tc>
          <w:tcPr>
            <w:tcW w:w="3260" w:type="dxa"/>
            <w:vMerge w:val="continue"/>
          </w:tcPr>
          <w:p w14:paraId="09BE17E3">
            <w:pPr>
              <w:pStyle w:val="178"/>
            </w:pPr>
          </w:p>
        </w:tc>
        <w:tc>
          <w:tcPr>
            <w:tcW w:w="5375" w:type="dxa"/>
            <w:vAlign w:val="center"/>
          </w:tcPr>
          <w:p w14:paraId="5CA7230C">
            <w:pPr>
              <w:pStyle w:val="178"/>
            </w:pPr>
            <w:r>
              <w:rPr>
                <w:rFonts w:hint="eastAsia"/>
              </w:rPr>
              <w:t>专利快速协同保护相关政策咨询</w:t>
            </w:r>
          </w:p>
        </w:tc>
      </w:tr>
      <w:tr w14:paraId="34A1AB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61F04796">
            <w:pPr>
              <w:pStyle w:val="178"/>
              <w:numPr>
                <w:ilvl w:val="0"/>
                <w:numId w:val="33"/>
              </w:numPr>
            </w:pPr>
          </w:p>
        </w:tc>
        <w:tc>
          <w:tcPr>
            <w:tcW w:w="3260" w:type="dxa"/>
            <w:vMerge w:val="continue"/>
          </w:tcPr>
          <w:p w14:paraId="59F73DE7">
            <w:pPr>
              <w:pStyle w:val="178"/>
            </w:pPr>
          </w:p>
        </w:tc>
        <w:tc>
          <w:tcPr>
            <w:tcW w:w="5375" w:type="dxa"/>
            <w:vAlign w:val="center"/>
          </w:tcPr>
          <w:p w14:paraId="7D0E9CC8">
            <w:pPr>
              <w:pStyle w:val="178"/>
            </w:pPr>
            <w:r>
              <w:rPr>
                <w:rFonts w:hint="eastAsia"/>
              </w:rPr>
              <w:t>商标注册申请受理服务咨询</w:t>
            </w:r>
          </w:p>
        </w:tc>
      </w:tr>
      <w:tr w14:paraId="6DF1B6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392A1311">
            <w:pPr>
              <w:pStyle w:val="178"/>
              <w:numPr>
                <w:ilvl w:val="0"/>
                <w:numId w:val="33"/>
              </w:numPr>
            </w:pPr>
          </w:p>
        </w:tc>
        <w:tc>
          <w:tcPr>
            <w:tcW w:w="3260" w:type="dxa"/>
            <w:vMerge w:val="continue"/>
          </w:tcPr>
          <w:p w14:paraId="1E2A3484">
            <w:pPr>
              <w:pStyle w:val="178"/>
            </w:pPr>
          </w:p>
        </w:tc>
        <w:tc>
          <w:tcPr>
            <w:tcW w:w="5375" w:type="dxa"/>
            <w:vAlign w:val="center"/>
          </w:tcPr>
          <w:p w14:paraId="542D6E6A">
            <w:pPr>
              <w:pStyle w:val="178"/>
            </w:pPr>
            <w:r>
              <w:rPr>
                <w:rFonts w:hint="eastAsia"/>
              </w:rPr>
              <w:t>商标变更申请受理服务咨询</w:t>
            </w:r>
          </w:p>
        </w:tc>
      </w:tr>
      <w:tr w14:paraId="6663A4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6CFD6A5F">
            <w:pPr>
              <w:pStyle w:val="178"/>
              <w:numPr>
                <w:ilvl w:val="0"/>
                <w:numId w:val="33"/>
              </w:numPr>
            </w:pPr>
          </w:p>
        </w:tc>
        <w:tc>
          <w:tcPr>
            <w:tcW w:w="3260" w:type="dxa"/>
            <w:vMerge w:val="continue"/>
          </w:tcPr>
          <w:p w14:paraId="50E6B160">
            <w:pPr>
              <w:pStyle w:val="178"/>
            </w:pPr>
          </w:p>
        </w:tc>
        <w:tc>
          <w:tcPr>
            <w:tcW w:w="5375" w:type="dxa"/>
            <w:vAlign w:val="center"/>
          </w:tcPr>
          <w:p w14:paraId="3D2F9B3F">
            <w:pPr>
              <w:pStyle w:val="178"/>
            </w:pPr>
            <w:r>
              <w:rPr>
                <w:rFonts w:hint="eastAsia"/>
              </w:rPr>
              <w:t>商标更正申请受理服务咨询</w:t>
            </w:r>
          </w:p>
        </w:tc>
      </w:tr>
      <w:tr w14:paraId="2A5BFF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17B992FA">
            <w:pPr>
              <w:pStyle w:val="178"/>
              <w:numPr>
                <w:ilvl w:val="0"/>
                <w:numId w:val="33"/>
              </w:numPr>
            </w:pPr>
          </w:p>
        </w:tc>
        <w:tc>
          <w:tcPr>
            <w:tcW w:w="3260" w:type="dxa"/>
            <w:vMerge w:val="continue"/>
          </w:tcPr>
          <w:p w14:paraId="4548339F">
            <w:pPr>
              <w:pStyle w:val="178"/>
            </w:pPr>
          </w:p>
        </w:tc>
        <w:tc>
          <w:tcPr>
            <w:tcW w:w="5375" w:type="dxa"/>
            <w:vAlign w:val="center"/>
          </w:tcPr>
          <w:p w14:paraId="7DF13A71">
            <w:pPr>
              <w:pStyle w:val="178"/>
            </w:pPr>
            <w:r>
              <w:rPr>
                <w:rFonts w:hint="eastAsia"/>
              </w:rPr>
              <w:t>地理标志申请受理服务咨询</w:t>
            </w:r>
          </w:p>
        </w:tc>
      </w:tr>
      <w:tr w14:paraId="021F22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2666CF43">
            <w:pPr>
              <w:pStyle w:val="178"/>
              <w:numPr>
                <w:ilvl w:val="0"/>
                <w:numId w:val="33"/>
              </w:numPr>
            </w:pPr>
          </w:p>
        </w:tc>
        <w:tc>
          <w:tcPr>
            <w:tcW w:w="3260" w:type="dxa"/>
            <w:vMerge w:val="continue"/>
          </w:tcPr>
          <w:p w14:paraId="512A026C">
            <w:pPr>
              <w:pStyle w:val="178"/>
            </w:pPr>
          </w:p>
        </w:tc>
        <w:tc>
          <w:tcPr>
            <w:tcW w:w="5375" w:type="dxa"/>
            <w:vAlign w:val="center"/>
          </w:tcPr>
          <w:p w14:paraId="53ABD535">
            <w:pPr>
              <w:pStyle w:val="178"/>
            </w:pPr>
            <w:r>
              <w:rPr>
                <w:rFonts w:hint="eastAsia"/>
              </w:rPr>
              <w:t>商标注册证明出具服务咨询</w:t>
            </w:r>
          </w:p>
        </w:tc>
      </w:tr>
      <w:tr w14:paraId="54AC19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7F72D754">
            <w:pPr>
              <w:pStyle w:val="178"/>
              <w:numPr>
                <w:ilvl w:val="0"/>
                <w:numId w:val="33"/>
              </w:numPr>
            </w:pPr>
          </w:p>
        </w:tc>
        <w:tc>
          <w:tcPr>
            <w:tcW w:w="3260" w:type="dxa"/>
            <w:vMerge w:val="continue"/>
          </w:tcPr>
          <w:p w14:paraId="73BBB40A">
            <w:pPr>
              <w:pStyle w:val="178"/>
            </w:pPr>
          </w:p>
        </w:tc>
        <w:tc>
          <w:tcPr>
            <w:tcW w:w="5375" w:type="dxa"/>
            <w:vAlign w:val="center"/>
          </w:tcPr>
          <w:p w14:paraId="02F6E497">
            <w:pPr>
              <w:pStyle w:val="178"/>
            </w:pPr>
            <w:r>
              <w:rPr>
                <w:rFonts w:hint="eastAsia"/>
              </w:rPr>
              <w:t>注册商标转让或移转申请受理服务咨询</w:t>
            </w:r>
          </w:p>
        </w:tc>
      </w:tr>
      <w:tr w14:paraId="35C27A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694F70AD">
            <w:pPr>
              <w:pStyle w:val="178"/>
              <w:numPr>
                <w:ilvl w:val="0"/>
                <w:numId w:val="33"/>
              </w:numPr>
            </w:pPr>
          </w:p>
        </w:tc>
        <w:tc>
          <w:tcPr>
            <w:tcW w:w="3260" w:type="dxa"/>
            <w:vMerge w:val="continue"/>
          </w:tcPr>
          <w:p w14:paraId="27A281B4">
            <w:pPr>
              <w:pStyle w:val="178"/>
            </w:pPr>
          </w:p>
        </w:tc>
        <w:tc>
          <w:tcPr>
            <w:tcW w:w="5375" w:type="dxa"/>
            <w:vAlign w:val="center"/>
          </w:tcPr>
          <w:p w14:paraId="20569C9A">
            <w:pPr>
              <w:pStyle w:val="178"/>
            </w:pPr>
            <w:r>
              <w:rPr>
                <w:rFonts w:hint="eastAsia"/>
              </w:rPr>
              <w:t>注册商标续展申请受理服务咨询</w:t>
            </w:r>
          </w:p>
        </w:tc>
      </w:tr>
      <w:tr w14:paraId="217A01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00F51AD9">
            <w:pPr>
              <w:pStyle w:val="178"/>
              <w:numPr>
                <w:ilvl w:val="0"/>
                <w:numId w:val="33"/>
              </w:numPr>
            </w:pPr>
          </w:p>
        </w:tc>
        <w:tc>
          <w:tcPr>
            <w:tcW w:w="3260" w:type="dxa"/>
            <w:vMerge w:val="continue"/>
          </w:tcPr>
          <w:p w14:paraId="5613AFA0">
            <w:pPr>
              <w:pStyle w:val="178"/>
            </w:pPr>
          </w:p>
        </w:tc>
        <w:tc>
          <w:tcPr>
            <w:tcW w:w="5375" w:type="dxa"/>
            <w:vAlign w:val="center"/>
          </w:tcPr>
          <w:p w14:paraId="4C458131">
            <w:pPr>
              <w:pStyle w:val="178"/>
            </w:pPr>
            <w:r>
              <w:rPr>
                <w:rFonts w:hint="eastAsia"/>
              </w:rPr>
              <w:t>注册商标使用许可备案申请受理服务咨询</w:t>
            </w:r>
          </w:p>
        </w:tc>
      </w:tr>
      <w:tr w14:paraId="160BDC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609C51C0">
            <w:pPr>
              <w:pStyle w:val="178"/>
              <w:numPr>
                <w:ilvl w:val="0"/>
                <w:numId w:val="33"/>
              </w:numPr>
            </w:pPr>
          </w:p>
        </w:tc>
        <w:tc>
          <w:tcPr>
            <w:tcW w:w="3260" w:type="dxa"/>
            <w:vMerge w:val="continue"/>
          </w:tcPr>
          <w:p w14:paraId="67F926A9">
            <w:pPr>
              <w:pStyle w:val="178"/>
            </w:pPr>
          </w:p>
        </w:tc>
        <w:tc>
          <w:tcPr>
            <w:tcW w:w="5375" w:type="dxa"/>
            <w:vAlign w:val="center"/>
          </w:tcPr>
          <w:p w14:paraId="5C4D2185">
            <w:pPr>
              <w:pStyle w:val="178"/>
            </w:pPr>
            <w:r>
              <w:rPr>
                <w:rFonts w:hint="eastAsia"/>
              </w:rPr>
              <w:t>注册商标专用权质押登记办理服务咨询</w:t>
            </w:r>
          </w:p>
        </w:tc>
      </w:tr>
      <w:tr w14:paraId="5C0828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6012791C">
            <w:pPr>
              <w:pStyle w:val="178"/>
              <w:numPr>
                <w:ilvl w:val="0"/>
                <w:numId w:val="33"/>
              </w:numPr>
            </w:pPr>
          </w:p>
        </w:tc>
        <w:tc>
          <w:tcPr>
            <w:tcW w:w="3260" w:type="dxa"/>
            <w:vMerge w:val="continue"/>
          </w:tcPr>
          <w:p w14:paraId="3FBD1B63">
            <w:pPr>
              <w:pStyle w:val="178"/>
            </w:pPr>
          </w:p>
        </w:tc>
        <w:tc>
          <w:tcPr>
            <w:tcW w:w="5375" w:type="dxa"/>
            <w:vAlign w:val="center"/>
          </w:tcPr>
          <w:p w14:paraId="54D0743D">
            <w:pPr>
              <w:pStyle w:val="178"/>
            </w:pPr>
            <w:r>
              <w:rPr>
                <w:rFonts w:hint="eastAsia"/>
              </w:rPr>
              <w:t>保护中心注册、备案受理服务咨询</w:t>
            </w:r>
          </w:p>
        </w:tc>
      </w:tr>
      <w:tr w14:paraId="1D31C7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400FE008">
            <w:pPr>
              <w:pStyle w:val="178"/>
              <w:numPr>
                <w:ilvl w:val="0"/>
                <w:numId w:val="33"/>
              </w:numPr>
            </w:pPr>
          </w:p>
        </w:tc>
        <w:tc>
          <w:tcPr>
            <w:tcW w:w="3260" w:type="dxa"/>
            <w:vMerge w:val="continue"/>
          </w:tcPr>
          <w:p w14:paraId="3C127909">
            <w:pPr>
              <w:pStyle w:val="178"/>
            </w:pPr>
          </w:p>
        </w:tc>
        <w:tc>
          <w:tcPr>
            <w:tcW w:w="5375" w:type="dxa"/>
            <w:vAlign w:val="center"/>
          </w:tcPr>
          <w:p w14:paraId="2BBA17DA">
            <w:pPr>
              <w:pStyle w:val="178"/>
            </w:pPr>
            <w:r>
              <w:rPr>
                <w:rFonts w:hint="eastAsia"/>
              </w:rPr>
              <w:t>知识产权申请、审批等事务咨询</w:t>
            </w:r>
          </w:p>
        </w:tc>
      </w:tr>
      <w:tr w14:paraId="0E80F0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19CEF496">
            <w:pPr>
              <w:pStyle w:val="178"/>
              <w:numPr>
                <w:ilvl w:val="0"/>
                <w:numId w:val="33"/>
              </w:numPr>
            </w:pPr>
          </w:p>
        </w:tc>
        <w:tc>
          <w:tcPr>
            <w:tcW w:w="3260" w:type="dxa"/>
            <w:vMerge w:val="continue"/>
          </w:tcPr>
          <w:p w14:paraId="3389E826">
            <w:pPr>
              <w:pStyle w:val="178"/>
            </w:pPr>
          </w:p>
        </w:tc>
        <w:tc>
          <w:tcPr>
            <w:tcW w:w="5375" w:type="dxa"/>
            <w:vAlign w:val="center"/>
          </w:tcPr>
          <w:p w14:paraId="4C9BC27C">
            <w:pPr>
              <w:pStyle w:val="178"/>
            </w:pPr>
            <w:r>
              <w:rPr>
                <w:rFonts w:hint="eastAsia"/>
              </w:rPr>
              <w:t>知识产权审查流程咨询</w:t>
            </w:r>
          </w:p>
        </w:tc>
      </w:tr>
      <w:tr w14:paraId="34B837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038CD177">
            <w:pPr>
              <w:pStyle w:val="178"/>
              <w:numPr>
                <w:ilvl w:val="0"/>
                <w:numId w:val="33"/>
              </w:numPr>
            </w:pPr>
          </w:p>
        </w:tc>
        <w:tc>
          <w:tcPr>
            <w:tcW w:w="3260" w:type="dxa"/>
            <w:vMerge w:val="continue"/>
          </w:tcPr>
          <w:p w14:paraId="4C4C8764">
            <w:pPr>
              <w:pStyle w:val="178"/>
            </w:pPr>
          </w:p>
        </w:tc>
        <w:tc>
          <w:tcPr>
            <w:tcW w:w="5375" w:type="dxa"/>
            <w:vAlign w:val="center"/>
          </w:tcPr>
          <w:p w14:paraId="2EF2D3E8">
            <w:pPr>
              <w:pStyle w:val="178"/>
            </w:pPr>
            <w:r>
              <w:rPr>
                <w:rFonts w:hint="eastAsia"/>
              </w:rPr>
              <w:t>知识产权法律事务咨询</w:t>
            </w:r>
          </w:p>
        </w:tc>
      </w:tr>
      <w:tr w14:paraId="1917BB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1A29DFFE">
            <w:pPr>
              <w:pStyle w:val="178"/>
              <w:numPr>
                <w:ilvl w:val="0"/>
                <w:numId w:val="33"/>
              </w:numPr>
            </w:pPr>
          </w:p>
        </w:tc>
        <w:tc>
          <w:tcPr>
            <w:tcW w:w="3260" w:type="dxa"/>
            <w:vMerge w:val="restart"/>
            <w:vAlign w:val="center"/>
          </w:tcPr>
          <w:p w14:paraId="5382C58D">
            <w:pPr>
              <w:pStyle w:val="178"/>
            </w:pPr>
            <w:r>
              <w:rPr>
                <w:rFonts w:hint="eastAsia"/>
              </w:rPr>
              <w:t>知识产权信息查询检索服务</w:t>
            </w:r>
          </w:p>
        </w:tc>
        <w:tc>
          <w:tcPr>
            <w:tcW w:w="5375" w:type="dxa"/>
            <w:vAlign w:val="center"/>
          </w:tcPr>
          <w:p w14:paraId="5AE1877D">
            <w:pPr>
              <w:pStyle w:val="178"/>
            </w:pPr>
            <w:r>
              <w:rPr>
                <w:rFonts w:hint="eastAsia"/>
              </w:rPr>
              <w:t>专利信息查询</w:t>
            </w:r>
          </w:p>
        </w:tc>
      </w:tr>
      <w:tr w14:paraId="25886E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3E7C1A1B">
            <w:pPr>
              <w:pStyle w:val="178"/>
              <w:numPr>
                <w:ilvl w:val="0"/>
                <w:numId w:val="33"/>
              </w:numPr>
            </w:pPr>
          </w:p>
        </w:tc>
        <w:tc>
          <w:tcPr>
            <w:tcW w:w="3260" w:type="dxa"/>
            <w:vMerge w:val="continue"/>
          </w:tcPr>
          <w:p w14:paraId="3A025B8B">
            <w:pPr>
              <w:pStyle w:val="178"/>
            </w:pPr>
          </w:p>
        </w:tc>
        <w:tc>
          <w:tcPr>
            <w:tcW w:w="5375" w:type="dxa"/>
            <w:vAlign w:val="center"/>
          </w:tcPr>
          <w:p w14:paraId="077EC641">
            <w:pPr>
              <w:pStyle w:val="178"/>
            </w:pPr>
            <w:r>
              <w:rPr>
                <w:rFonts w:hint="eastAsia"/>
              </w:rPr>
              <w:t>专利公布公告查询</w:t>
            </w:r>
          </w:p>
        </w:tc>
      </w:tr>
      <w:tr w14:paraId="0EBC5F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7E04EC62">
            <w:pPr>
              <w:pStyle w:val="178"/>
              <w:numPr>
                <w:ilvl w:val="0"/>
                <w:numId w:val="33"/>
              </w:numPr>
            </w:pPr>
          </w:p>
        </w:tc>
        <w:tc>
          <w:tcPr>
            <w:tcW w:w="3260" w:type="dxa"/>
            <w:vMerge w:val="continue"/>
          </w:tcPr>
          <w:p w14:paraId="1DED6669">
            <w:pPr>
              <w:pStyle w:val="178"/>
            </w:pPr>
          </w:p>
        </w:tc>
        <w:tc>
          <w:tcPr>
            <w:tcW w:w="5375" w:type="dxa"/>
            <w:vAlign w:val="center"/>
          </w:tcPr>
          <w:p w14:paraId="377E98E5">
            <w:pPr>
              <w:pStyle w:val="178"/>
            </w:pPr>
            <w:r>
              <w:rPr>
                <w:rFonts w:hint="eastAsia"/>
              </w:rPr>
              <w:t>专利代理机构及专利代理师查询</w:t>
            </w:r>
          </w:p>
        </w:tc>
      </w:tr>
      <w:tr w14:paraId="543027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6BA321EA">
            <w:pPr>
              <w:pStyle w:val="178"/>
              <w:numPr>
                <w:ilvl w:val="0"/>
                <w:numId w:val="33"/>
              </w:numPr>
            </w:pPr>
          </w:p>
        </w:tc>
        <w:tc>
          <w:tcPr>
            <w:tcW w:w="3260" w:type="dxa"/>
            <w:vMerge w:val="continue"/>
          </w:tcPr>
          <w:p w14:paraId="6C58F183">
            <w:pPr>
              <w:pStyle w:val="178"/>
            </w:pPr>
          </w:p>
        </w:tc>
        <w:tc>
          <w:tcPr>
            <w:tcW w:w="5375" w:type="dxa"/>
            <w:vAlign w:val="center"/>
          </w:tcPr>
          <w:p w14:paraId="2B3610D3">
            <w:pPr>
              <w:pStyle w:val="178"/>
            </w:pPr>
            <w:r>
              <w:rPr>
                <w:rFonts w:hint="eastAsia"/>
              </w:rPr>
              <w:t>商标信息查询</w:t>
            </w:r>
          </w:p>
        </w:tc>
      </w:tr>
      <w:tr w14:paraId="68B4A7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565D94DD">
            <w:pPr>
              <w:pStyle w:val="178"/>
              <w:numPr>
                <w:ilvl w:val="0"/>
                <w:numId w:val="33"/>
              </w:numPr>
            </w:pPr>
          </w:p>
        </w:tc>
        <w:tc>
          <w:tcPr>
            <w:tcW w:w="3260" w:type="dxa"/>
            <w:vMerge w:val="continue"/>
          </w:tcPr>
          <w:p w14:paraId="5F24D659">
            <w:pPr>
              <w:pStyle w:val="178"/>
            </w:pPr>
          </w:p>
        </w:tc>
        <w:tc>
          <w:tcPr>
            <w:tcW w:w="5375" w:type="dxa"/>
            <w:vAlign w:val="center"/>
          </w:tcPr>
          <w:p w14:paraId="233FFC09">
            <w:pPr>
              <w:pStyle w:val="178"/>
            </w:pPr>
            <w:r>
              <w:rPr>
                <w:rFonts w:hint="eastAsia"/>
              </w:rPr>
              <w:t>商标公告查询</w:t>
            </w:r>
          </w:p>
        </w:tc>
      </w:tr>
      <w:tr w14:paraId="5244FD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75938F31">
            <w:pPr>
              <w:pStyle w:val="178"/>
              <w:numPr>
                <w:ilvl w:val="0"/>
                <w:numId w:val="33"/>
              </w:numPr>
            </w:pPr>
          </w:p>
        </w:tc>
        <w:tc>
          <w:tcPr>
            <w:tcW w:w="3260" w:type="dxa"/>
            <w:vMerge w:val="continue"/>
          </w:tcPr>
          <w:p w14:paraId="38E937F9">
            <w:pPr>
              <w:pStyle w:val="178"/>
            </w:pPr>
          </w:p>
        </w:tc>
        <w:tc>
          <w:tcPr>
            <w:tcW w:w="5375" w:type="dxa"/>
            <w:vAlign w:val="center"/>
          </w:tcPr>
          <w:p w14:paraId="661517F5">
            <w:pPr>
              <w:pStyle w:val="178"/>
            </w:pPr>
            <w:r>
              <w:rPr>
                <w:rFonts w:hint="eastAsia"/>
              </w:rPr>
              <w:t>备案商标代理机构查询</w:t>
            </w:r>
          </w:p>
        </w:tc>
      </w:tr>
      <w:tr w14:paraId="34E0C7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3BB65102">
            <w:pPr>
              <w:pStyle w:val="178"/>
              <w:numPr>
                <w:ilvl w:val="0"/>
                <w:numId w:val="33"/>
              </w:numPr>
            </w:pPr>
          </w:p>
        </w:tc>
        <w:tc>
          <w:tcPr>
            <w:tcW w:w="3260" w:type="dxa"/>
            <w:vMerge w:val="continue"/>
          </w:tcPr>
          <w:p w14:paraId="5C4E91FE">
            <w:pPr>
              <w:pStyle w:val="178"/>
            </w:pPr>
          </w:p>
        </w:tc>
        <w:tc>
          <w:tcPr>
            <w:tcW w:w="5375" w:type="dxa"/>
            <w:vAlign w:val="center"/>
          </w:tcPr>
          <w:p w14:paraId="4D439610">
            <w:pPr>
              <w:pStyle w:val="178"/>
            </w:pPr>
            <w:r>
              <w:rPr>
                <w:rFonts w:hint="eastAsia"/>
              </w:rPr>
              <w:t>地理标志信息查询</w:t>
            </w:r>
          </w:p>
        </w:tc>
      </w:tr>
      <w:tr w14:paraId="25067E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2E3FD12D">
            <w:pPr>
              <w:pStyle w:val="178"/>
              <w:numPr>
                <w:ilvl w:val="0"/>
                <w:numId w:val="33"/>
              </w:numPr>
            </w:pPr>
          </w:p>
        </w:tc>
        <w:tc>
          <w:tcPr>
            <w:tcW w:w="3260" w:type="dxa"/>
            <w:vMerge w:val="continue"/>
          </w:tcPr>
          <w:p w14:paraId="61487453">
            <w:pPr>
              <w:pStyle w:val="178"/>
            </w:pPr>
          </w:p>
        </w:tc>
        <w:tc>
          <w:tcPr>
            <w:tcW w:w="5375" w:type="dxa"/>
            <w:vAlign w:val="center"/>
          </w:tcPr>
          <w:p w14:paraId="33A39135">
            <w:pPr>
              <w:pStyle w:val="178"/>
            </w:pPr>
            <w:r>
              <w:rPr>
                <w:rFonts w:hint="eastAsia"/>
              </w:rPr>
              <w:t>地理标志保护产品公告查询</w:t>
            </w:r>
          </w:p>
        </w:tc>
      </w:tr>
      <w:tr w14:paraId="5CD227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0522D7EB">
            <w:pPr>
              <w:pStyle w:val="178"/>
              <w:numPr>
                <w:ilvl w:val="0"/>
                <w:numId w:val="33"/>
              </w:numPr>
            </w:pPr>
          </w:p>
        </w:tc>
        <w:tc>
          <w:tcPr>
            <w:tcW w:w="3260" w:type="dxa"/>
            <w:vMerge w:val="continue"/>
          </w:tcPr>
          <w:p w14:paraId="24C210DD">
            <w:pPr>
              <w:pStyle w:val="178"/>
            </w:pPr>
          </w:p>
        </w:tc>
        <w:tc>
          <w:tcPr>
            <w:tcW w:w="5375" w:type="dxa"/>
            <w:vAlign w:val="center"/>
          </w:tcPr>
          <w:p w14:paraId="440DB47E">
            <w:pPr>
              <w:pStyle w:val="178"/>
            </w:pPr>
            <w:r>
              <w:rPr>
                <w:rFonts w:hint="eastAsia"/>
              </w:rPr>
              <w:t>地理标志专用标志使用企业公告查询</w:t>
            </w:r>
          </w:p>
        </w:tc>
      </w:tr>
      <w:tr w14:paraId="0A2D41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0535EEA6">
            <w:pPr>
              <w:pStyle w:val="178"/>
              <w:numPr>
                <w:ilvl w:val="0"/>
                <w:numId w:val="33"/>
              </w:numPr>
            </w:pPr>
          </w:p>
        </w:tc>
        <w:tc>
          <w:tcPr>
            <w:tcW w:w="3260" w:type="dxa"/>
            <w:vMerge w:val="continue"/>
          </w:tcPr>
          <w:p w14:paraId="01110F1B">
            <w:pPr>
              <w:pStyle w:val="178"/>
            </w:pPr>
          </w:p>
        </w:tc>
        <w:tc>
          <w:tcPr>
            <w:tcW w:w="5375" w:type="dxa"/>
            <w:vAlign w:val="center"/>
          </w:tcPr>
          <w:p w14:paraId="067D2626">
            <w:pPr>
              <w:pStyle w:val="178"/>
            </w:pPr>
            <w:r>
              <w:rPr>
                <w:rFonts w:hint="eastAsia"/>
              </w:rPr>
              <w:t>集成电路布图设计信息查询</w:t>
            </w:r>
          </w:p>
        </w:tc>
      </w:tr>
      <w:tr w14:paraId="0F0A80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0528F667">
            <w:pPr>
              <w:pStyle w:val="178"/>
              <w:numPr>
                <w:ilvl w:val="0"/>
                <w:numId w:val="33"/>
              </w:numPr>
            </w:pPr>
          </w:p>
        </w:tc>
        <w:tc>
          <w:tcPr>
            <w:tcW w:w="3260" w:type="dxa"/>
            <w:vMerge w:val="continue"/>
          </w:tcPr>
          <w:p w14:paraId="0F818C58">
            <w:pPr>
              <w:pStyle w:val="178"/>
            </w:pPr>
          </w:p>
        </w:tc>
        <w:tc>
          <w:tcPr>
            <w:tcW w:w="5375" w:type="dxa"/>
            <w:vAlign w:val="center"/>
          </w:tcPr>
          <w:p w14:paraId="77F1B71B">
            <w:pPr>
              <w:pStyle w:val="178"/>
            </w:pPr>
            <w:r>
              <w:rPr>
                <w:rFonts w:hint="eastAsia"/>
              </w:rPr>
              <w:t>集成电路布图设计档案查询</w:t>
            </w:r>
          </w:p>
        </w:tc>
      </w:tr>
      <w:tr w14:paraId="6FECBA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20EF8324">
            <w:pPr>
              <w:pStyle w:val="178"/>
              <w:numPr>
                <w:ilvl w:val="0"/>
                <w:numId w:val="33"/>
              </w:numPr>
            </w:pPr>
          </w:p>
        </w:tc>
        <w:tc>
          <w:tcPr>
            <w:tcW w:w="3260" w:type="dxa"/>
            <w:vMerge w:val="continue"/>
          </w:tcPr>
          <w:p w14:paraId="1F86C61C">
            <w:pPr>
              <w:pStyle w:val="178"/>
            </w:pPr>
          </w:p>
        </w:tc>
        <w:tc>
          <w:tcPr>
            <w:tcW w:w="5375" w:type="dxa"/>
            <w:vAlign w:val="center"/>
          </w:tcPr>
          <w:p w14:paraId="106AE555">
            <w:pPr>
              <w:pStyle w:val="178"/>
            </w:pPr>
            <w:r>
              <w:rPr>
                <w:rFonts w:hint="eastAsia"/>
              </w:rPr>
              <w:t>集成电路布图设计公告查询</w:t>
            </w:r>
          </w:p>
        </w:tc>
      </w:tr>
      <w:tr w14:paraId="310FE5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67B9E667">
            <w:pPr>
              <w:pStyle w:val="178"/>
              <w:numPr>
                <w:ilvl w:val="0"/>
                <w:numId w:val="33"/>
              </w:numPr>
            </w:pPr>
          </w:p>
        </w:tc>
        <w:tc>
          <w:tcPr>
            <w:tcW w:w="3260" w:type="dxa"/>
            <w:vMerge w:val="continue"/>
          </w:tcPr>
          <w:p w14:paraId="61C8FDC5">
            <w:pPr>
              <w:pStyle w:val="178"/>
            </w:pPr>
          </w:p>
        </w:tc>
        <w:tc>
          <w:tcPr>
            <w:tcW w:w="5375" w:type="dxa"/>
            <w:vAlign w:val="center"/>
          </w:tcPr>
          <w:p w14:paraId="76BC4E2C">
            <w:pPr>
              <w:pStyle w:val="178"/>
            </w:pPr>
            <w:r>
              <w:rPr>
                <w:rFonts w:hint="eastAsia"/>
              </w:rPr>
              <w:t>知识产权信息公共服务机构信息查询</w:t>
            </w:r>
          </w:p>
        </w:tc>
      </w:tr>
      <w:tr w14:paraId="7795CD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49E40830">
            <w:pPr>
              <w:pStyle w:val="178"/>
              <w:numPr>
                <w:ilvl w:val="0"/>
                <w:numId w:val="33"/>
              </w:numPr>
            </w:pPr>
          </w:p>
        </w:tc>
        <w:tc>
          <w:tcPr>
            <w:tcW w:w="3260" w:type="dxa"/>
            <w:vMerge w:val="continue"/>
          </w:tcPr>
          <w:p w14:paraId="4C1AE51D">
            <w:pPr>
              <w:pStyle w:val="178"/>
            </w:pPr>
          </w:p>
        </w:tc>
        <w:tc>
          <w:tcPr>
            <w:tcW w:w="5375" w:type="dxa"/>
            <w:vAlign w:val="center"/>
          </w:tcPr>
          <w:p w14:paraId="3ED474E8">
            <w:pPr>
              <w:pStyle w:val="178"/>
            </w:pPr>
            <w:r>
              <w:rPr>
                <w:rFonts w:hint="eastAsia"/>
              </w:rPr>
              <w:t>专利信息检索分析</w:t>
            </w:r>
          </w:p>
        </w:tc>
      </w:tr>
      <w:tr w14:paraId="07F606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48F13DAA">
            <w:pPr>
              <w:pStyle w:val="178"/>
              <w:numPr>
                <w:ilvl w:val="0"/>
                <w:numId w:val="33"/>
              </w:numPr>
            </w:pPr>
          </w:p>
        </w:tc>
        <w:tc>
          <w:tcPr>
            <w:tcW w:w="3260" w:type="dxa"/>
            <w:vMerge w:val="continue"/>
          </w:tcPr>
          <w:p w14:paraId="69D77BFF">
            <w:pPr>
              <w:pStyle w:val="178"/>
            </w:pPr>
          </w:p>
        </w:tc>
        <w:tc>
          <w:tcPr>
            <w:tcW w:w="5375" w:type="dxa"/>
            <w:vAlign w:val="center"/>
          </w:tcPr>
          <w:p w14:paraId="0ABCCC4B">
            <w:pPr>
              <w:pStyle w:val="178"/>
            </w:pPr>
            <w:r>
              <w:rPr>
                <w:rFonts w:hint="eastAsia"/>
              </w:rPr>
              <w:t>专利文献馆信息检索分析</w:t>
            </w:r>
          </w:p>
        </w:tc>
      </w:tr>
      <w:tr w14:paraId="65F181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Borders>
              <w:bottom w:val="single" w:color="auto" w:sz="8" w:space="0"/>
            </w:tcBorders>
            <w:vAlign w:val="center"/>
          </w:tcPr>
          <w:p w14:paraId="0472B0F8">
            <w:pPr>
              <w:pStyle w:val="178"/>
              <w:numPr>
                <w:ilvl w:val="0"/>
                <w:numId w:val="33"/>
              </w:numPr>
            </w:pPr>
          </w:p>
        </w:tc>
        <w:tc>
          <w:tcPr>
            <w:tcW w:w="3260" w:type="dxa"/>
            <w:vMerge w:val="restart"/>
            <w:vAlign w:val="center"/>
          </w:tcPr>
          <w:p w14:paraId="3EFBDBA8">
            <w:pPr>
              <w:pStyle w:val="178"/>
            </w:pPr>
            <w:r>
              <w:rPr>
                <w:rFonts w:hint="eastAsia"/>
              </w:rPr>
              <w:t>知识产权宣传培训服务</w:t>
            </w:r>
          </w:p>
        </w:tc>
        <w:tc>
          <w:tcPr>
            <w:tcW w:w="5375" w:type="dxa"/>
            <w:tcBorders>
              <w:bottom w:val="single" w:color="auto" w:sz="8" w:space="0"/>
            </w:tcBorders>
            <w:vAlign w:val="center"/>
          </w:tcPr>
          <w:p w14:paraId="5F269365">
            <w:pPr>
              <w:pStyle w:val="178"/>
            </w:pPr>
            <w:r>
              <w:rPr>
                <w:rFonts w:hint="eastAsia"/>
              </w:rPr>
              <w:t>专利、商标、著作权等知识产权知识培训</w:t>
            </w:r>
          </w:p>
        </w:tc>
      </w:tr>
      <w:tr w14:paraId="718AB8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Borders>
              <w:bottom w:val="single" w:color="auto" w:sz="8" w:space="0"/>
            </w:tcBorders>
            <w:vAlign w:val="center"/>
          </w:tcPr>
          <w:p w14:paraId="7D133592">
            <w:pPr>
              <w:pStyle w:val="178"/>
              <w:numPr>
                <w:ilvl w:val="0"/>
                <w:numId w:val="33"/>
              </w:numPr>
            </w:pPr>
          </w:p>
        </w:tc>
        <w:tc>
          <w:tcPr>
            <w:tcW w:w="3260" w:type="dxa"/>
            <w:vMerge w:val="continue"/>
          </w:tcPr>
          <w:p w14:paraId="64FB0A43">
            <w:pPr>
              <w:pStyle w:val="178"/>
            </w:pPr>
          </w:p>
        </w:tc>
        <w:tc>
          <w:tcPr>
            <w:tcW w:w="5375" w:type="dxa"/>
            <w:tcBorders>
              <w:top w:val="single" w:color="auto" w:sz="8" w:space="0"/>
              <w:bottom w:val="single" w:color="auto" w:sz="4" w:space="0"/>
            </w:tcBorders>
            <w:vAlign w:val="center"/>
          </w:tcPr>
          <w:p w14:paraId="0DC59FA8">
            <w:pPr>
              <w:pStyle w:val="178"/>
            </w:pPr>
            <w:r>
              <w:rPr>
                <w:rFonts w:hint="eastAsia"/>
              </w:rPr>
              <w:t>专利文献检索技巧培训</w:t>
            </w:r>
          </w:p>
        </w:tc>
      </w:tr>
      <w:tr w14:paraId="23211B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Borders>
              <w:bottom w:val="single" w:color="auto" w:sz="8" w:space="0"/>
            </w:tcBorders>
            <w:vAlign w:val="center"/>
          </w:tcPr>
          <w:p w14:paraId="71D17FD0">
            <w:pPr>
              <w:pStyle w:val="178"/>
              <w:numPr>
                <w:ilvl w:val="0"/>
                <w:numId w:val="33"/>
              </w:numPr>
            </w:pPr>
          </w:p>
        </w:tc>
        <w:tc>
          <w:tcPr>
            <w:tcW w:w="3260" w:type="dxa"/>
            <w:vMerge w:val="continue"/>
          </w:tcPr>
          <w:p w14:paraId="0D214F84">
            <w:pPr>
              <w:pStyle w:val="178"/>
            </w:pPr>
          </w:p>
        </w:tc>
        <w:tc>
          <w:tcPr>
            <w:tcW w:w="5375" w:type="dxa"/>
            <w:tcBorders>
              <w:top w:val="single" w:color="auto" w:sz="4" w:space="0"/>
              <w:bottom w:val="single" w:color="auto" w:sz="8" w:space="0"/>
            </w:tcBorders>
            <w:vAlign w:val="center"/>
          </w:tcPr>
          <w:p w14:paraId="51F445A8">
            <w:pPr>
              <w:pStyle w:val="178"/>
            </w:pPr>
            <w:r>
              <w:rPr>
                <w:rFonts w:hint="eastAsia"/>
              </w:rPr>
              <w:t>专利分析技巧培训</w:t>
            </w:r>
          </w:p>
        </w:tc>
      </w:tr>
      <w:tr w14:paraId="371CBD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Borders>
              <w:bottom w:val="single" w:color="auto" w:sz="8" w:space="0"/>
            </w:tcBorders>
            <w:vAlign w:val="center"/>
          </w:tcPr>
          <w:p w14:paraId="482A7159">
            <w:pPr>
              <w:pStyle w:val="178"/>
              <w:numPr>
                <w:ilvl w:val="0"/>
                <w:numId w:val="33"/>
              </w:numPr>
            </w:pPr>
          </w:p>
        </w:tc>
        <w:tc>
          <w:tcPr>
            <w:tcW w:w="3260" w:type="dxa"/>
            <w:vMerge w:val="continue"/>
          </w:tcPr>
          <w:p w14:paraId="1F4B329C">
            <w:pPr>
              <w:pStyle w:val="178"/>
            </w:pPr>
          </w:p>
        </w:tc>
        <w:tc>
          <w:tcPr>
            <w:tcW w:w="5375" w:type="dxa"/>
            <w:tcBorders>
              <w:top w:val="single" w:color="auto" w:sz="8" w:space="0"/>
              <w:bottom w:val="single" w:color="auto" w:sz="8" w:space="0"/>
            </w:tcBorders>
            <w:vAlign w:val="center"/>
          </w:tcPr>
          <w:p w14:paraId="22E144E5">
            <w:pPr>
              <w:pStyle w:val="178"/>
            </w:pPr>
            <w:r>
              <w:rPr>
                <w:rFonts w:hint="eastAsia"/>
              </w:rPr>
              <w:t>专利申请文本撰写培训</w:t>
            </w:r>
          </w:p>
        </w:tc>
      </w:tr>
      <w:tr w14:paraId="694DEB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Borders>
              <w:bottom w:val="single" w:color="auto" w:sz="8" w:space="0"/>
            </w:tcBorders>
            <w:vAlign w:val="center"/>
          </w:tcPr>
          <w:p w14:paraId="64ABA0DE">
            <w:pPr>
              <w:pStyle w:val="178"/>
              <w:numPr>
                <w:ilvl w:val="0"/>
                <w:numId w:val="33"/>
              </w:numPr>
            </w:pPr>
          </w:p>
        </w:tc>
        <w:tc>
          <w:tcPr>
            <w:tcW w:w="3260" w:type="dxa"/>
            <w:vMerge w:val="continue"/>
            <w:tcBorders>
              <w:bottom w:val="single" w:color="auto" w:sz="8" w:space="0"/>
            </w:tcBorders>
          </w:tcPr>
          <w:p w14:paraId="27475498">
            <w:pPr>
              <w:pStyle w:val="178"/>
            </w:pPr>
          </w:p>
        </w:tc>
        <w:tc>
          <w:tcPr>
            <w:tcW w:w="5375" w:type="dxa"/>
            <w:tcBorders>
              <w:top w:val="single" w:color="auto" w:sz="8" w:space="0"/>
              <w:bottom w:val="single" w:color="auto" w:sz="8" w:space="0"/>
            </w:tcBorders>
            <w:vAlign w:val="center"/>
          </w:tcPr>
          <w:p w14:paraId="76850CEE">
            <w:pPr>
              <w:pStyle w:val="178"/>
            </w:pPr>
            <w:r>
              <w:rPr>
                <w:rFonts w:hint="eastAsia"/>
              </w:rPr>
              <w:t>知识产权政策及成果宣传</w:t>
            </w:r>
          </w:p>
        </w:tc>
      </w:tr>
      <w:tr w14:paraId="451ACB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3"/>
            <w:tcBorders>
              <w:top w:val="single" w:color="auto" w:sz="8" w:space="0"/>
              <w:bottom w:val="single" w:color="auto" w:sz="8" w:space="0"/>
            </w:tcBorders>
            <w:vAlign w:val="center"/>
          </w:tcPr>
          <w:p w14:paraId="6D5A87DB">
            <w:pPr>
              <w:pStyle w:val="179"/>
            </w:pPr>
            <w:r>
              <w:rPr>
                <w:rFonts w:hint="eastAsia"/>
              </w:rPr>
              <w:t>本清单为知识产权信息公共服务基础服务事项的参考，若国家和省有相关最新要求，参照最新要求执行。</w:t>
            </w:r>
          </w:p>
        </w:tc>
      </w:tr>
    </w:tbl>
    <w:p w14:paraId="3001B447">
      <w:pPr>
        <w:pStyle w:val="56"/>
        <w:ind w:firstLine="0" w:firstLineChars="0"/>
      </w:pPr>
    </w:p>
    <w:bookmarkEnd w:id="69"/>
    <w:p w14:paraId="4C6DDFC2">
      <w:pPr>
        <w:pStyle w:val="56"/>
        <w:ind w:firstLine="420"/>
        <w:sectPr>
          <w:pgSz w:w="11906" w:h="16838"/>
          <w:pgMar w:top="1928" w:right="1134" w:bottom="1134" w:left="1134" w:header="1418" w:footer="1134" w:gutter="284"/>
          <w:cols w:space="425" w:num="1"/>
          <w:formProt w:val="0"/>
          <w:docGrid w:type="lines" w:linePitch="312" w:charSpace="0"/>
        </w:sectPr>
      </w:pPr>
      <w:bookmarkStart w:id="70" w:name="BookMark6"/>
    </w:p>
    <w:p w14:paraId="2E2DF8C2">
      <w:pPr>
        <w:pStyle w:val="63"/>
        <w:spacing w:after="156"/>
      </w:pPr>
      <w:bookmarkStart w:id="71" w:name="_Toc204594301"/>
      <w:r>
        <w:rPr>
          <w:rFonts w:hint="eastAsia"/>
          <w:spacing w:val="105"/>
        </w:rPr>
        <w:t>参考文</w:t>
      </w:r>
      <w:r>
        <w:rPr>
          <w:rFonts w:hint="eastAsia"/>
        </w:rPr>
        <w:t>献</w:t>
      </w:r>
      <w:bookmarkEnd w:id="71"/>
    </w:p>
    <w:p w14:paraId="34ACF7CE">
      <w:pPr>
        <w:pStyle w:val="56"/>
        <w:ind w:firstLine="420"/>
      </w:pPr>
      <w:r>
        <w:rPr>
          <w:rFonts w:hint="eastAsia"/>
        </w:rPr>
        <w:t>[1]国家知识产权局办公室关于印发《知识产权信息公共服务工作指引》的通知（</w:t>
      </w:r>
      <w:r>
        <w:rPr>
          <w:rFonts w:hint="eastAsia"/>
          <w:bCs/>
        </w:rPr>
        <w:t>国知办发服字〔</w:t>
      </w:r>
      <w:r>
        <w:rPr>
          <w:bCs/>
        </w:rPr>
        <w:t>2020</w:t>
      </w:r>
      <w:r>
        <w:rPr>
          <w:rFonts w:hint="eastAsia"/>
          <w:bCs/>
        </w:rPr>
        <w:t>〕</w:t>
      </w:r>
      <w:r>
        <w:rPr>
          <w:bCs/>
        </w:rPr>
        <w:t>43</w:t>
      </w:r>
      <w:r>
        <w:rPr>
          <w:rFonts w:hint="eastAsia"/>
          <w:bCs/>
        </w:rPr>
        <w:t>号)</w:t>
      </w:r>
    </w:p>
    <w:p w14:paraId="6AAB5EB1">
      <w:pPr>
        <w:pStyle w:val="56"/>
        <w:ind w:firstLine="420"/>
      </w:pPr>
      <w:r>
        <w:rPr>
          <w:rFonts w:hint="eastAsia"/>
        </w:rPr>
        <w:t>[2]国家知识产权局办公室 教育部办公厅关于印发《高校国家知识产权信息服务中心建设实施办法（修订）》的通知（</w:t>
      </w:r>
      <w:r>
        <w:rPr>
          <w:rFonts w:hint="eastAsia"/>
          <w:bCs/>
        </w:rPr>
        <w:t>国知办发服字〔</w:t>
      </w:r>
      <w:r>
        <w:rPr>
          <w:bCs/>
        </w:rPr>
        <w:t>202</w:t>
      </w:r>
      <w:r>
        <w:rPr>
          <w:rFonts w:hint="eastAsia"/>
          <w:bCs/>
        </w:rPr>
        <w:t>1〕23号)</w:t>
      </w:r>
    </w:p>
    <w:p w14:paraId="4B5CA9BB">
      <w:pPr>
        <w:pStyle w:val="56"/>
        <w:ind w:firstLine="420"/>
      </w:pPr>
      <w:r>
        <w:rPr>
          <w:rFonts w:hint="eastAsia"/>
        </w:rPr>
        <w:t>[3]国家知识产权局办公室关于印发《国家知识产权信息公共服务网点备案实施办法（修订）》的通知（</w:t>
      </w:r>
      <w:r>
        <w:rPr>
          <w:rFonts w:hint="eastAsia"/>
          <w:bCs/>
        </w:rPr>
        <w:t>国知办发服字〔</w:t>
      </w:r>
      <w:r>
        <w:rPr>
          <w:bCs/>
        </w:rPr>
        <w:t>202</w:t>
      </w:r>
      <w:r>
        <w:rPr>
          <w:rFonts w:hint="eastAsia"/>
          <w:bCs/>
        </w:rPr>
        <w:t>4〕19号)</w:t>
      </w:r>
    </w:p>
    <w:p w14:paraId="3CE84752">
      <w:pPr>
        <w:pStyle w:val="56"/>
        <w:ind w:firstLine="420"/>
      </w:pPr>
      <w:r>
        <w:rPr>
          <w:rFonts w:hint="eastAsia"/>
        </w:rPr>
        <w:t>[4]国家知识产权局办公室 教育部办公厅关于印发《高校国家知识产权信息服务中心工作指引》的通知（</w:t>
      </w:r>
      <w:r>
        <w:rPr>
          <w:rFonts w:hint="eastAsia"/>
          <w:bCs/>
        </w:rPr>
        <w:t>国知办发服字〔</w:t>
      </w:r>
      <w:r>
        <w:rPr>
          <w:bCs/>
        </w:rPr>
        <w:t>202</w:t>
      </w:r>
      <w:r>
        <w:rPr>
          <w:rFonts w:hint="eastAsia"/>
          <w:bCs/>
        </w:rPr>
        <w:t>4〕36号)</w:t>
      </w:r>
    </w:p>
    <w:p w14:paraId="3604ED35">
      <w:pPr>
        <w:pStyle w:val="56"/>
        <w:ind w:firstLine="420"/>
      </w:pPr>
      <w:r>
        <w:rPr>
          <w:rFonts w:hint="eastAsia"/>
        </w:rPr>
        <w:t>[5]国家知识产权局办公室关于印发《技术与创新</w:t>
      </w:r>
      <w:r>
        <w:rPr>
          <w:rFonts w:hint="eastAsia"/>
          <w:bCs/>
        </w:rPr>
        <w:t>支持中心（</w:t>
      </w:r>
      <w:r>
        <w:rPr>
          <w:bCs/>
        </w:rPr>
        <w:t>TISC</w:t>
      </w:r>
      <w:r>
        <w:rPr>
          <w:rFonts w:hint="eastAsia"/>
          <w:bCs/>
        </w:rPr>
        <w:t>）工作指引》的通知（国知办发服字〔</w:t>
      </w:r>
      <w:r>
        <w:rPr>
          <w:bCs/>
        </w:rPr>
        <w:t>2025</w:t>
      </w:r>
      <w:r>
        <w:rPr>
          <w:rFonts w:hint="eastAsia"/>
          <w:bCs/>
        </w:rPr>
        <w:t>〕</w:t>
      </w:r>
      <w:r>
        <w:rPr>
          <w:bCs/>
        </w:rPr>
        <w:t>26</w:t>
      </w:r>
      <w:r>
        <w:rPr>
          <w:rFonts w:hint="eastAsia"/>
          <w:bCs/>
        </w:rPr>
        <w:t>号）</w:t>
      </w:r>
    </w:p>
    <w:bookmarkEnd w:id="70"/>
    <w:p w14:paraId="760CCA9D">
      <w:pPr>
        <w:pStyle w:val="56"/>
        <w:ind w:firstLine="420"/>
        <w:rPr>
          <w:bCs/>
        </w:rPr>
      </w:pPr>
      <w:bookmarkStart w:id="72" w:name="BookMark8"/>
      <w:r>
        <w:rPr>
          <w:rFonts w:hint="eastAsia"/>
        </w:rPr>
        <w:t>[6]</w:t>
      </w:r>
      <w:r>
        <w:rPr>
          <w:rFonts w:hint="eastAsia"/>
          <w:bCs/>
        </w:rPr>
        <w:t>国家知识产权局办公室关于印发《地市级综合性知识产权公共服务机构工作指引》的通知（国知办发服字〔2023〕27号）</w:t>
      </w:r>
    </w:p>
    <w:p w14:paraId="63C5EA5C">
      <w:pPr>
        <w:pStyle w:val="56"/>
        <w:ind w:firstLine="420"/>
      </w:pPr>
      <w:r>
        <w:rPr>
          <w:rFonts w:hint="eastAsia"/>
        </w:rPr>
        <w:t>[7]山东省市场监督管理局关于印发《山东省知识产权信息公共服务网点建设管理办法》的通知（</w:t>
      </w:r>
      <w:r>
        <w:rPr>
          <w:rFonts w:hint="eastAsia"/>
          <w:bCs/>
        </w:rPr>
        <w:t>鲁市监发字〔2024〕9号）</w:t>
      </w:r>
    </w:p>
    <w:p w14:paraId="3ABCB90B">
      <w:pPr>
        <w:pStyle w:val="56"/>
        <w:ind w:firstLine="0" w:firstLineChars="0"/>
        <w:jc w:val="center"/>
      </w:pPr>
      <w:r>
        <w:rPr>
          <w:rFonts w:hint="eastAsia"/>
        </w:rPr>
        <w:drawing>
          <wp:inline distT="0" distB="0" distL="0" distR="0">
            <wp:extent cx="1485900" cy="317500"/>
            <wp:effectExtent l="0" t="0" r="0" b="6350"/>
            <wp:docPr id="1085077968" name="图片 1"/>
            <wp:cNvGraphicFramePr/>
            <a:graphic xmlns:a="http://schemas.openxmlformats.org/drawingml/2006/main">
              <a:graphicData uri="http://schemas.openxmlformats.org/drawingml/2006/picture">
                <pic:pic xmlns:pic="http://schemas.openxmlformats.org/drawingml/2006/picture">
                  <pic:nvPicPr>
                    <pic:cNvPr id="1085077968"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2"/>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22445">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14932">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9F279">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599DF">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3870E">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5BA07">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6B7E8">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01896">
    <w:pPr>
      <w:pStyle w:val="61"/>
      <w:rPr>
        <w:rFonts w:hint="eastAsia"/>
      </w:rPr>
    </w:pPr>
    <w:r>
      <w:fldChar w:fldCharType="begin"/>
    </w:r>
    <w:r>
      <w:instrText xml:space="preserve"> STYLEREF  标准文件_文件编号  \* MERGEFORMAT </w:instrText>
    </w:r>
    <w:r>
      <w:fldChar w:fldCharType="separate"/>
    </w:r>
    <w:r>
      <w:t>DB 37/T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794C8">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37/T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lang w:val="en-US"/>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7E73875"/>
    <w:multiLevelType w:val="multilevel"/>
    <w:tmpl w:val="77E7387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attachedTemplate r:id="rId1"/>
  <w:documentProtection w:edit="forms" w:enforcement="1" w:cryptProviderType="rsaAES" w:cryptAlgorithmClass="hash" w:cryptAlgorithmType="typeAny" w:cryptAlgorithmSid="14" w:cryptSpinCount="100000" w:hash="EA714me8gB8HmyQCGNB5lExxwt1jyPi9DBN3ajEoa/dEPUVb6K1BseYidb73gvpF2WIrJBqW8LeTwhkPttj/9w==" w:salt="/fwj+OH9KQkxZKErG0QWS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3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48F3"/>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AE3"/>
    <w:rsid w:val="000B5E31"/>
    <w:rsid w:val="000B6A0B"/>
    <w:rsid w:val="000C0F6C"/>
    <w:rsid w:val="000C11DB"/>
    <w:rsid w:val="000C1492"/>
    <w:rsid w:val="000C2FBD"/>
    <w:rsid w:val="000C4B41"/>
    <w:rsid w:val="000C57D6"/>
    <w:rsid w:val="000C6362"/>
    <w:rsid w:val="000C7666"/>
    <w:rsid w:val="000C76CD"/>
    <w:rsid w:val="000D0A9C"/>
    <w:rsid w:val="000D1795"/>
    <w:rsid w:val="000D329A"/>
    <w:rsid w:val="000D4B9C"/>
    <w:rsid w:val="000D4EB6"/>
    <w:rsid w:val="000D753B"/>
    <w:rsid w:val="000E3133"/>
    <w:rsid w:val="000E4C9E"/>
    <w:rsid w:val="000E6FD7"/>
    <w:rsid w:val="000F06E1"/>
    <w:rsid w:val="000F0E3C"/>
    <w:rsid w:val="000F19D5"/>
    <w:rsid w:val="000F4AEA"/>
    <w:rsid w:val="000F633F"/>
    <w:rsid w:val="000F67E9"/>
    <w:rsid w:val="00104926"/>
    <w:rsid w:val="00113B1E"/>
    <w:rsid w:val="00115159"/>
    <w:rsid w:val="0011711C"/>
    <w:rsid w:val="0012059C"/>
    <w:rsid w:val="00124E4F"/>
    <w:rsid w:val="001260B7"/>
    <w:rsid w:val="001265CB"/>
    <w:rsid w:val="001321C6"/>
    <w:rsid w:val="001325C4"/>
    <w:rsid w:val="00133010"/>
    <w:rsid w:val="001338EE"/>
    <w:rsid w:val="00133AAE"/>
    <w:rsid w:val="00135323"/>
    <w:rsid w:val="001356C4"/>
    <w:rsid w:val="00141114"/>
    <w:rsid w:val="00141DF1"/>
    <w:rsid w:val="00142969"/>
    <w:rsid w:val="001446C2"/>
    <w:rsid w:val="00145496"/>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FBB"/>
    <w:rsid w:val="0018342D"/>
    <w:rsid w:val="001852C9"/>
    <w:rsid w:val="00190087"/>
    <w:rsid w:val="001913C4"/>
    <w:rsid w:val="0019348F"/>
    <w:rsid w:val="00193A07"/>
    <w:rsid w:val="00193D4D"/>
    <w:rsid w:val="00194C95"/>
    <w:rsid w:val="00195C34"/>
    <w:rsid w:val="00196EF5"/>
    <w:rsid w:val="001A081E"/>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4A3"/>
    <w:rsid w:val="0022794E"/>
    <w:rsid w:val="00233D64"/>
    <w:rsid w:val="0023482A"/>
    <w:rsid w:val="002359CB"/>
    <w:rsid w:val="00243540"/>
    <w:rsid w:val="0024497B"/>
    <w:rsid w:val="0024515B"/>
    <w:rsid w:val="00245F30"/>
    <w:rsid w:val="00246021"/>
    <w:rsid w:val="0024666E"/>
    <w:rsid w:val="00247F52"/>
    <w:rsid w:val="00250B25"/>
    <w:rsid w:val="00250BBE"/>
    <w:rsid w:val="00251297"/>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582F"/>
    <w:rsid w:val="002B7332"/>
    <w:rsid w:val="002B7F51"/>
    <w:rsid w:val="002C09E7"/>
    <w:rsid w:val="002C1E06"/>
    <w:rsid w:val="002C1E1C"/>
    <w:rsid w:val="002C3F07"/>
    <w:rsid w:val="002C5278"/>
    <w:rsid w:val="002C7EBB"/>
    <w:rsid w:val="002D06C1"/>
    <w:rsid w:val="002D42B5"/>
    <w:rsid w:val="002D4F1A"/>
    <w:rsid w:val="002D6EC6"/>
    <w:rsid w:val="002D70DD"/>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5DF0"/>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F81"/>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30ED"/>
    <w:rsid w:val="00404869"/>
    <w:rsid w:val="00405884"/>
    <w:rsid w:val="00407D39"/>
    <w:rsid w:val="0041477A"/>
    <w:rsid w:val="004167A3"/>
    <w:rsid w:val="00424A7C"/>
    <w:rsid w:val="00432DAA"/>
    <w:rsid w:val="00434305"/>
    <w:rsid w:val="00435DF7"/>
    <w:rsid w:val="0044045C"/>
    <w:rsid w:val="0044083F"/>
    <w:rsid w:val="00441AE7"/>
    <w:rsid w:val="004439A7"/>
    <w:rsid w:val="00445574"/>
    <w:rsid w:val="004467FB"/>
    <w:rsid w:val="00452D6B"/>
    <w:rsid w:val="00454484"/>
    <w:rsid w:val="0045517B"/>
    <w:rsid w:val="00463B77"/>
    <w:rsid w:val="00463C7B"/>
    <w:rsid w:val="004644A6"/>
    <w:rsid w:val="004659BD"/>
    <w:rsid w:val="00470775"/>
    <w:rsid w:val="00472532"/>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4F7762"/>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4B9"/>
    <w:rsid w:val="00541853"/>
    <w:rsid w:val="00543BDA"/>
    <w:rsid w:val="005441CC"/>
    <w:rsid w:val="005479DA"/>
    <w:rsid w:val="00547BCC"/>
    <w:rsid w:val="0055013B"/>
    <w:rsid w:val="00550810"/>
    <w:rsid w:val="00551F6F"/>
    <w:rsid w:val="00554821"/>
    <w:rsid w:val="0055496C"/>
    <w:rsid w:val="00554E71"/>
    <w:rsid w:val="00555044"/>
    <w:rsid w:val="00561475"/>
    <w:rsid w:val="005619E9"/>
    <w:rsid w:val="0056487B"/>
    <w:rsid w:val="00564FB9"/>
    <w:rsid w:val="00567450"/>
    <w:rsid w:val="00573D9E"/>
    <w:rsid w:val="005801E3"/>
    <w:rsid w:val="00581802"/>
    <w:rsid w:val="005836A8"/>
    <w:rsid w:val="0058409C"/>
    <w:rsid w:val="00584262"/>
    <w:rsid w:val="00586630"/>
    <w:rsid w:val="00587ADD"/>
    <w:rsid w:val="00590A2C"/>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379D"/>
    <w:rsid w:val="005C5F21"/>
    <w:rsid w:val="005C7156"/>
    <w:rsid w:val="005D0C75"/>
    <w:rsid w:val="005D4171"/>
    <w:rsid w:val="005D6A95"/>
    <w:rsid w:val="005D6B2C"/>
    <w:rsid w:val="005D6D9C"/>
    <w:rsid w:val="005E1DCA"/>
    <w:rsid w:val="005E2335"/>
    <w:rsid w:val="005E34CA"/>
    <w:rsid w:val="005E3C18"/>
    <w:rsid w:val="005E5A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59BF"/>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3936"/>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6F7F47"/>
    <w:rsid w:val="007002C5"/>
    <w:rsid w:val="00702F0B"/>
    <w:rsid w:val="00704387"/>
    <w:rsid w:val="007074AB"/>
    <w:rsid w:val="00707669"/>
    <w:rsid w:val="00711CBA"/>
    <w:rsid w:val="00711FB5"/>
    <w:rsid w:val="00712A01"/>
    <w:rsid w:val="00714F58"/>
    <w:rsid w:val="00715FDC"/>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A7C"/>
    <w:rsid w:val="007F0ED8"/>
    <w:rsid w:val="007F0F63"/>
    <w:rsid w:val="007F75CE"/>
    <w:rsid w:val="00800D9C"/>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8CC"/>
    <w:rsid w:val="00843C13"/>
    <w:rsid w:val="008454F8"/>
    <w:rsid w:val="0085173A"/>
    <w:rsid w:val="008557FF"/>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6F62"/>
    <w:rsid w:val="0089762C"/>
    <w:rsid w:val="008A0295"/>
    <w:rsid w:val="008A1893"/>
    <w:rsid w:val="008A2B40"/>
    <w:rsid w:val="008A3215"/>
    <w:rsid w:val="008A377B"/>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834"/>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2D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42F9"/>
    <w:rsid w:val="00945180"/>
    <w:rsid w:val="00945428"/>
    <w:rsid w:val="0094607B"/>
    <w:rsid w:val="00953604"/>
    <w:rsid w:val="0095496B"/>
    <w:rsid w:val="009610DC"/>
    <w:rsid w:val="00961490"/>
    <w:rsid w:val="0096381A"/>
    <w:rsid w:val="00965E04"/>
    <w:rsid w:val="009674AD"/>
    <w:rsid w:val="00970CDC"/>
    <w:rsid w:val="009722C1"/>
    <w:rsid w:val="00977010"/>
    <w:rsid w:val="00977D02"/>
    <w:rsid w:val="009809BB"/>
    <w:rsid w:val="0098364B"/>
    <w:rsid w:val="00985BFC"/>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7AA"/>
    <w:rsid w:val="009C4CFA"/>
    <w:rsid w:val="009C5070"/>
    <w:rsid w:val="009D112C"/>
    <w:rsid w:val="009D47FA"/>
    <w:rsid w:val="009D4C5B"/>
    <w:rsid w:val="009D50D2"/>
    <w:rsid w:val="009D6BCA"/>
    <w:rsid w:val="009E0F62"/>
    <w:rsid w:val="009E4A58"/>
    <w:rsid w:val="009E5A2D"/>
    <w:rsid w:val="009E5AB2"/>
    <w:rsid w:val="009E6219"/>
    <w:rsid w:val="009F03B3"/>
    <w:rsid w:val="009F4C09"/>
    <w:rsid w:val="00A0096C"/>
    <w:rsid w:val="00A01757"/>
    <w:rsid w:val="00A028C0"/>
    <w:rsid w:val="00A02BAE"/>
    <w:rsid w:val="00A062E9"/>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5244"/>
    <w:rsid w:val="00A4661E"/>
    <w:rsid w:val="00A5261A"/>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ACB"/>
    <w:rsid w:val="00AE070A"/>
    <w:rsid w:val="00AE101C"/>
    <w:rsid w:val="00AE37E5"/>
    <w:rsid w:val="00AE54B9"/>
    <w:rsid w:val="00AE5EB4"/>
    <w:rsid w:val="00AF0C18"/>
    <w:rsid w:val="00AF47C5"/>
    <w:rsid w:val="00AF5398"/>
    <w:rsid w:val="00B043B4"/>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569E"/>
    <w:rsid w:val="00B4654C"/>
    <w:rsid w:val="00B46AF0"/>
    <w:rsid w:val="00B47293"/>
    <w:rsid w:val="00B50E50"/>
    <w:rsid w:val="00B52120"/>
    <w:rsid w:val="00B54ABC"/>
    <w:rsid w:val="00B54DDE"/>
    <w:rsid w:val="00B56B91"/>
    <w:rsid w:val="00B56FBE"/>
    <w:rsid w:val="00B60ACF"/>
    <w:rsid w:val="00B622F3"/>
    <w:rsid w:val="00B62B58"/>
    <w:rsid w:val="00B65149"/>
    <w:rsid w:val="00B66567"/>
    <w:rsid w:val="00B66F52"/>
    <w:rsid w:val="00B66FE5"/>
    <w:rsid w:val="00B70F6D"/>
    <w:rsid w:val="00B72880"/>
    <w:rsid w:val="00B758BF"/>
    <w:rsid w:val="00B77EC8"/>
    <w:rsid w:val="00B827A6"/>
    <w:rsid w:val="00B831CE"/>
    <w:rsid w:val="00B86677"/>
    <w:rsid w:val="00B87131"/>
    <w:rsid w:val="00B939B1"/>
    <w:rsid w:val="00B96D40"/>
    <w:rsid w:val="00B97386"/>
    <w:rsid w:val="00BA1F38"/>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085F"/>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87338"/>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447"/>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A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6C22"/>
    <w:rsid w:val="00D27582"/>
    <w:rsid w:val="00D27EC4"/>
    <w:rsid w:val="00D32719"/>
    <w:rsid w:val="00D33333"/>
    <w:rsid w:val="00D33457"/>
    <w:rsid w:val="00D34C72"/>
    <w:rsid w:val="00D352A2"/>
    <w:rsid w:val="00D4162B"/>
    <w:rsid w:val="00D4514F"/>
    <w:rsid w:val="00D451E2"/>
    <w:rsid w:val="00D45E89"/>
    <w:rsid w:val="00D45E8D"/>
    <w:rsid w:val="00D466AE"/>
    <w:rsid w:val="00D4734F"/>
    <w:rsid w:val="00D51BF3"/>
    <w:rsid w:val="00D56452"/>
    <w:rsid w:val="00D66846"/>
    <w:rsid w:val="00D675FB"/>
    <w:rsid w:val="00D71F25"/>
    <w:rsid w:val="00D72A9C"/>
    <w:rsid w:val="00D77031"/>
    <w:rsid w:val="00D826CE"/>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3940"/>
    <w:rsid w:val="00DC5B90"/>
    <w:rsid w:val="00DD00FF"/>
    <w:rsid w:val="00DD0619"/>
    <w:rsid w:val="00DD07FB"/>
    <w:rsid w:val="00DD25C6"/>
    <w:rsid w:val="00DD4FE5"/>
    <w:rsid w:val="00DD54B0"/>
    <w:rsid w:val="00DD57EE"/>
    <w:rsid w:val="00DD6BCC"/>
    <w:rsid w:val="00DE0A4B"/>
    <w:rsid w:val="00DE10A6"/>
    <w:rsid w:val="00DE2410"/>
    <w:rsid w:val="00DE2939"/>
    <w:rsid w:val="00DE6E81"/>
    <w:rsid w:val="00DE703F"/>
    <w:rsid w:val="00DE7595"/>
    <w:rsid w:val="00DF1961"/>
    <w:rsid w:val="00DF44DE"/>
    <w:rsid w:val="00DF5F11"/>
    <w:rsid w:val="00DF60EE"/>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6459"/>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23CF"/>
    <w:rsid w:val="00EB5EDF"/>
    <w:rsid w:val="00EB60FE"/>
    <w:rsid w:val="00EB74DB"/>
    <w:rsid w:val="00EC5359"/>
    <w:rsid w:val="00EC562A"/>
    <w:rsid w:val="00ED067A"/>
    <w:rsid w:val="00ED2B50"/>
    <w:rsid w:val="00EE0350"/>
    <w:rsid w:val="00EE0719"/>
    <w:rsid w:val="00EE0E80"/>
    <w:rsid w:val="00EE54A6"/>
    <w:rsid w:val="00EE613F"/>
    <w:rsid w:val="00EE6979"/>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167C"/>
    <w:rsid w:val="00F420D5"/>
    <w:rsid w:val="00F451EA"/>
    <w:rsid w:val="00F45447"/>
    <w:rsid w:val="00F456C6"/>
    <w:rsid w:val="00F4577B"/>
    <w:rsid w:val="00F46496"/>
    <w:rsid w:val="00F474D0"/>
    <w:rsid w:val="00F50179"/>
    <w:rsid w:val="00F515EE"/>
    <w:rsid w:val="00F56511"/>
    <w:rsid w:val="00F57EE7"/>
    <w:rsid w:val="00F6194E"/>
    <w:rsid w:val="00F623AC"/>
    <w:rsid w:val="00F6412A"/>
    <w:rsid w:val="00F65893"/>
    <w:rsid w:val="00F66A4A"/>
    <w:rsid w:val="00F71E22"/>
    <w:rsid w:val="00F72142"/>
    <w:rsid w:val="00F72AE7"/>
    <w:rsid w:val="00F76712"/>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0A1"/>
    <w:rsid w:val="00FA4DAC"/>
    <w:rsid w:val="00FA662D"/>
    <w:rsid w:val="00FA73B1"/>
    <w:rsid w:val="00FB0CB9"/>
    <w:rsid w:val="00FB231D"/>
    <w:rsid w:val="00FB247D"/>
    <w:rsid w:val="00FB45F1"/>
    <w:rsid w:val="00FB4A72"/>
    <w:rsid w:val="00FB54E8"/>
    <w:rsid w:val="00FB7054"/>
    <w:rsid w:val="00FC13D7"/>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AA153DB"/>
    <w:rsid w:val="61B96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宋体" w:hAnsi="Times New Roman" w:eastAsia="宋体" w:cs="Times New Roman"/>
      <w:bCs/>
      <w:sz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val="0"/>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val="0"/>
      <w:sz w:val="32"/>
      <w:szCs w:val="32"/>
    </w:rPr>
  </w:style>
  <w:style w:type="paragraph" w:styleId="4">
    <w:name w:val="heading 3"/>
    <w:basedOn w:val="1"/>
    <w:next w:val="1"/>
    <w:link w:val="36"/>
    <w:qFormat/>
    <w:uiPriority w:val="0"/>
    <w:pPr>
      <w:keepNext/>
      <w:keepLines/>
      <w:spacing w:before="260" w:after="260" w:line="416" w:lineRule="auto"/>
      <w:outlineLvl w:val="2"/>
    </w:pPr>
    <w:rPr>
      <w:b/>
      <w:bCs w:val="0"/>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val="0"/>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val="0"/>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val="0"/>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val="0"/>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style>
  <w:style w:type="paragraph" w:styleId="15">
    <w:name w:val="toc 3"/>
    <w:basedOn w:val="1"/>
    <w:next w:val="1"/>
    <w:autoRedefine/>
    <w:unhideWhenUsed/>
    <w:qFormat/>
    <w:uiPriority w:val="39"/>
    <w:pPr>
      <w:spacing w:line="300" w:lineRule="exact"/>
      <w:ind w:left="420"/>
    </w:p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tabs>
        <w:tab w:val="right" w:leader="dot" w:pos="9344"/>
      </w:tabs>
      <w:spacing w:line="300" w:lineRule="exact"/>
      <w:ind w:left="629"/>
    </w:p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sz w:val="18"/>
      <w:szCs w:val="18"/>
    </w:rPr>
  </w:style>
  <w:style w:type="paragraph" w:styleId="22">
    <w:name w:val="toc 6"/>
    <w:basedOn w:val="1"/>
    <w:next w:val="1"/>
    <w:autoRedefine/>
    <w:unhideWhenUsed/>
    <w:qFormat/>
    <w:uiPriority w:val="39"/>
    <w:pPr>
      <w:spacing w:line="300" w:lineRule="exact"/>
      <w:ind w:left="1049"/>
    </w:p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style>
  <w:style w:type="paragraph" w:styleId="25">
    <w:name w:val="Title"/>
    <w:basedOn w:val="1"/>
    <w:link w:val="48"/>
    <w:qFormat/>
    <w:uiPriority w:val="0"/>
    <w:pPr>
      <w:spacing w:before="240" w:after="60"/>
      <w:jc w:val="center"/>
      <w:outlineLvl w:val="0"/>
    </w:pPr>
    <w:rPr>
      <w:rFonts w:ascii="Arial" w:hAnsi="Arial" w:cs="Arial"/>
      <w:b/>
      <w:bCs w:val="0"/>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hAnsi="宋体"/>
      <w:kern w:val="2"/>
    </w:rPr>
  </w:style>
  <w:style w:type="paragraph" w:customStyle="1" w:styleId="58">
    <w:name w:val="标准文件_标准部门"/>
    <w:basedOn w:val="1"/>
    <w:qFormat/>
    <w:uiPriority w:val="0"/>
    <w:pPr>
      <w:jc w:val="center"/>
    </w:pPr>
    <w:rPr>
      <w:rFonts w:ascii="黑体" w:eastAsia="黑体"/>
      <w:sz w:val="44"/>
    </w:rPr>
  </w:style>
  <w:style w:type="paragraph" w:customStyle="1" w:styleId="59">
    <w:name w:val="标准文件_标准代替"/>
    <w:basedOn w:val="1"/>
    <w:next w:val="1"/>
    <w:qFormat/>
    <w:uiPriority w:val="0"/>
    <w:pPr>
      <w:spacing w:line="310" w:lineRule="exact"/>
      <w:jc w:val="right"/>
    </w:pPr>
    <w:rPr>
      <w:rFonts w:hAnsi="宋体"/>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sz w:val="28"/>
    </w:rPr>
  </w:style>
  <w:style w:type="paragraph" w:customStyle="1" w:styleId="69">
    <w:name w:val="标准文件_封面标准分类号"/>
    <w:basedOn w:val="1"/>
    <w:qFormat/>
    <w:uiPriority w:val="0"/>
    <w:rPr>
      <w:rFonts w:ascii="黑体" w:eastAsia="黑体"/>
      <w:b/>
      <w:sz w:val="28"/>
    </w:rPr>
  </w:style>
  <w:style w:type="paragraph" w:customStyle="1" w:styleId="70">
    <w:name w:val="标准文件_封面标准名称"/>
    <w:basedOn w:val="1"/>
    <w:qFormat/>
    <w:uiPriority w:val="0"/>
    <w:pPr>
      <w:spacing w:line="240" w:lineRule="auto"/>
      <w:jc w:val="center"/>
    </w:pPr>
    <w:rPr>
      <w:rFonts w:ascii="黑体" w:eastAsia="黑体"/>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hAnsi="宋体"/>
      <w:sz w:val="18"/>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hAnsi="宋体"/>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val="0"/>
      <w:iCs/>
    </w:rPr>
  </w:style>
  <w:style w:type="paragraph" w:customStyle="1" w:styleId="143">
    <w:name w:val="目录 31"/>
    <w:basedOn w:val="1"/>
    <w:next w:val="1"/>
    <w:autoRedefine/>
    <w:semiHidden/>
    <w:qFormat/>
    <w:uiPriority w:val="0"/>
    <w:pPr>
      <w:spacing w:line="240" w:lineRule="auto"/>
    </w:pPr>
    <w:rPr>
      <w:rFonts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rPr>
  </w:style>
  <w:style w:type="paragraph" w:customStyle="1" w:styleId="173">
    <w:name w:val="图表脚注说明"/>
    <w:basedOn w:val="1"/>
    <w:next w:val="56"/>
    <w:qFormat/>
    <w:uiPriority w:val="0"/>
    <w:pPr>
      <w:numPr>
        <w:ilvl w:val="0"/>
        <w:numId w:val="25"/>
      </w:numPr>
      <w:adjustRightInd/>
      <w:spacing w:line="240" w:lineRule="auto"/>
    </w:pPr>
    <w:rPr>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946AA61E73646DBBFFEF8113CBCAFAC"/>
        <w:style w:val=""/>
        <w:category>
          <w:name w:val="常规"/>
          <w:gallery w:val="placeholder"/>
        </w:category>
        <w:types>
          <w:type w:val="bbPlcHdr"/>
        </w:types>
        <w:behaviors>
          <w:behavior w:val="content"/>
        </w:behaviors>
        <w:description w:val=""/>
        <w:guid w:val="{9B922010-4044-4D34-AB1A-40BA850E26F0}"/>
      </w:docPartPr>
      <w:docPartBody>
        <w:p w14:paraId="7EF4A80D">
          <w:pPr>
            <w:pStyle w:val="5"/>
            <w:rPr>
              <w:rFonts w:hint="eastAsia"/>
            </w:rPr>
          </w:pPr>
          <w:r>
            <w:rPr>
              <w:rStyle w:val="4"/>
              <w:rFonts w:hint="eastAsia"/>
            </w:rPr>
            <w:t>单击或点击此处输入文字。</w:t>
          </w:r>
        </w:p>
      </w:docPartBody>
    </w:docPart>
    <w:docPart>
      <w:docPartPr>
        <w:name w:val="E21DD498141941058A8CF0960A4DF051"/>
        <w:style w:val=""/>
        <w:category>
          <w:name w:val="常规"/>
          <w:gallery w:val="placeholder"/>
        </w:category>
        <w:types>
          <w:type w:val="bbPlcHdr"/>
        </w:types>
        <w:behaviors>
          <w:behavior w:val="content"/>
        </w:behaviors>
        <w:description w:val=""/>
        <w:guid w:val="{658D1E3C-D0A1-4348-85A2-FE708825392D}"/>
      </w:docPartPr>
      <w:docPartBody>
        <w:p w14:paraId="1ACA08ED">
          <w:pPr>
            <w:pStyle w:val="6"/>
            <w:rPr>
              <w:rFonts w:hint="eastAsia"/>
            </w:rPr>
          </w:pPr>
          <w:r>
            <w:rPr>
              <w:rStyle w:val="4"/>
              <w:rFonts w:hint="eastAsia"/>
            </w:rPr>
            <w:t>选择一项。</w:t>
          </w:r>
        </w:p>
      </w:docPartBody>
    </w:docPart>
    <w:docPart>
      <w:docPartPr>
        <w:name w:val="D441E2EA6FCC4514A2A4B29C93613D2A"/>
        <w:style w:val=""/>
        <w:category>
          <w:name w:val="常规"/>
          <w:gallery w:val="placeholder"/>
        </w:category>
        <w:types>
          <w:type w:val="bbPlcHdr"/>
        </w:types>
        <w:behaviors>
          <w:behavior w:val="content"/>
        </w:behaviors>
        <w:description w:val=""/>
        <w:guid w:val="{815A9D3F-0C03-40A2-93C8-8404085F1FAC}"/>
      </w:docPartPr>
      <w:docPartBody>
        <w:p w14:paraId="7971CA39">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FAA"/>
    <w:rsid w:val="000E3133"/>
    <w:rsid w:val="00115159"/>
    <w:rsid w:val="004650DD"/>
    <w:rsid w:val="004B53E7"/>
    <w:rsid w:val="00554821"/>
    <w:rsid w:val="005C379D"/>
    <w:rsid w:val="005C74DF"/>
    <w:rsid w:val="006C0EE8"/>
    <w:rsid w:val="00702F0B"/>
    <w:rsid w:val="00776566"/>
    <w:rsid w:val="008438CC"/>
    <w:rsid w:val="008D2834"/>
    <w:rsid w:val="00930F06"/>
    <w:rsid w:val="00A74455"/>
    <w:rsid w:val="00A76178"/>
    <w:rsid w:val="00AE54B9"/>
    <w:rsid w:val="00B73028"/>
    <w:rsid w:val="00B754C5"/>
    <w:rsid w:val="00C83AFE"/>
    <w:rsid w:val="00CF6A6F"/>
    <w:rsid w:val="00DA5469"/>
    <w:rsid w:val="00E400DE"/>
    <w:rsid w:val="00EE6979"/>
    <w:rsid w:val="00F43F0D"/>
    <w:rsid w:val="00F65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946AA61E73646DBBFFEF8113CBCAFAC"/>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E21DD498141941058A8CF0960A4DF051"/>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D441E2EA6FCC4514A2A4B29C93613D2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CD8EFA-C49B-4784-AAA2-9AD4FEE53E0B}">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10</Pages>
  <Words>5095</Words>
  <Characters>5271</Characters>
  <Lines>45</Lines>
  <Paragraphs>12</Paragraphs>
  <TotalTime>1</TotalTime>
  <ScaleCrop>false</ScaleCrop>
  <LinksUpToDate>false</LinksUpToDate>
  <CharactersWithSpaces>5307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2025-07-30T06:20:00Z</dcterms:created>
  <dc:creator>lenovo</dc:creator>
  <dc:description>&lt;config cover="true" show_menu="true" version="1.0.0" doctype="SDKXY"&gt;_x000d_
&lt;/config&gt;</dc:description>
  <cp:lastModifiedBy>庄文</cp:lastModifiedBy>
  <cp:lastPrinted>2020-08-30T10:00:00Z</cp:lastPrinted>
  <dcterms:modified xsi:type="dcterms:W3CDTF">2025-07-30T07:40:23Z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eyJoZGlkIjoiZDc2NGIzOWNmMTdmOTJlOWMxMzVjY2ZmMjczNmU2ODQiLCJ1c2VySWQiOiIyODAzNzI4ODYifQ==</vt:lpwstr>
  </property>
  <property fmtid="{D5CDD505-2E9C-101B-9397-08002B2CF9AE}" pid="15" name="KSOProductBuildVer">
    <vt:lpwstr>2052-12.1.0.21915</vt:lpwstr>
  </property>
  <property fmtid="{D5CDD505-2E9C-101B-9397-08002B2CF9AE}" pid="16" name="ICV">
    <vt:lpwstr>A75F4340C1D448C08845A31169BBFC69_12</vt:lpwstr>
  </property>
</Properties>
</file>