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286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color w:val="000000" w:themeColor="text1"/>
          <w:kern w:val="44"/>
          <w:sz w:val="32"/>
          <w:szCs w:val="32"/>
          <w:lang w:val="en-US" w:eastAsia="zh-CN" w:bidi="ar-SA"/>
          <w14:textFill>
            <w14:solidFill>
              <w14:schemeClr w14:val="tx1"/>
            </w14:solidFill>
          </w14:textFill>
        </w:rPr>
      </w:pPr>
      <w:r>
        <w:rPr>
          <w:rFonts w:hint="eastAsia" w:ascii="黑体" w:hAnsi="黑体" w:eastAsia="黑体" w:cs="黑体"/>
          <w:color w:val="000000" w:themeColor="text1"/>
          <w:kern w:val="44"/>
          <w:sz w:val="32"/>
          <w:szCs w:val="32"/>
          <w:lang w:val="en-US" w:eastAsia="zh-CN" w:bidi="ar-SA"/>
          <w14:textFill>
            <w14:solidFill>
              <w14:schemeClr w14:val="tx1"/>
            </w14:solidFill>
          </w14:textFill>
        </w:rPr>
        <w:t>附件</w:t>
      </w:r>
    </w:p>
    <w:p w14:paraId="6278CC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3520" w:firstLineChars="800"/>
        <w:jc w:val="both"/>
        <w:textAlignment w:val="auto"/>
        <w:rPr>
          <w:rFonts w:hint="eastAsia" w:ascii="方正小标宋简体" w:hAnsi="方正小标宋简体" w:eastAsia="方正小标宋简体" w:cs="方正小标宋简体"/>
          <w:color w:val="000000" w:themeColor="text1"/>
          <w:kern w:val="44"/>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44"/>
          <w:sz w:val="44"/>
          <w:szCs w:val="44"/>
          <w:lang w:val="en-US" w:eastAsia="zh-CN" w:bidi="ar-SA"/>
          <w14:textFill>
            <w14:solidFill>
              <w14:schemeClr w14:val="tx1"/>
            </w14:solidFill>
          </w14:textFill>
        </w:rPr>
        <w:t>2026“新高赛”复赛入围项目公示名单</w:t>
      </w:r>
    </w:p>
    <w:p w14:paraId="556C5D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720" w:firstLineChars="1300"/>
        <w:jc w:val="both"/>
        <w:textAlignment w:val="auto"/>
        <w:rPr>
          <w:rFonts w:hint="eastAsia" w:ascii="方正小标宋简体" w:hAnsi="方正小标宋简体" w:eastAsia="方正小标宋简体" w:cs="方正小标宋简体"/>
          <w:color w:val="000000" w:themeColor="text1"/>
          <w:kern w:val="44"/>
          <w:sz w:val="44"/>
          <w:szCs w:val="44"/>
          <w:lang w:val="en-US" w:eastAsia="zh-CN" w:bidi="ar-SA"/>
          <w14:textFill>
            <w14:solidFill>
              <w14:schemeClr w14:val="tx1"/>
            </w14:solidFill>
          </w14:textFill>
        </w:rPr>
      </w:pPr>
    </w:p>
    <w:p w14:paraId="59D97611">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t>成长组</w:t>
      </w:r>
    </w:p>
    <w:tbl>
      <w:tblPr>
        <w:tblStyle w:val="3"/>
        <w:tblW w:w="13993" w:type="dxa"/>
        <w:tblInd w:w="1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5"/>
        <w:gridCol w:w="3545"/>
        <w:gridCol w:w="2980"/>
        <w:gridCol w:w="6493"/>
      </w:tblGrid>
      <w:tr w14:paraId="35AF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46964">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序号</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top"/>
          </w:tcPr>
          <w:p w14:paraId="386E45F7">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参赛单位</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top"/>
          </w:tcPr>
          <w:p w14:paraId="2F18C416">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联合单位</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top"/>
          </w:tcPr>
          <w:p w14:paraId="78903050">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参赛项目名称</w:t>
            </w:r>
          </w:p>
        </w:tc>
      </w:tr>
      <w:tr w14:paraId="69AE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25A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4BE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中电晶华（天津）半导体材料有限公司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213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杭州电子科技大学、浙江省人工智能学院</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C43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面向人工智能算力平台的功率半导体极厚外延膜</w:t>
            </w:r>
          </w:p>
        </w:tc>
      </w:tr>
      <w:tr w14:paraId="57D2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743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469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山东金城医药化工有限公司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0ED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1F3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头孢类医药中间体连续化合成耦合结晶工艺研究及应用</w:t>
            </w:r>
          </w:p>
        </w:tc>
      </w:tr>
      <w:tr w14:paraId="04EB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CC5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365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山东瑞博龙化工科技股份有限公司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EAB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432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特种丙烯酰胺单体DEAA连续流绿色合成关键技术及产业化</w:t>
            </w:r>
          </w:p>
        </w:tc>
      </w:tr>
      <w:tr w14:paraId="39DD7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A73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A83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青岛邦特生态纺织科技有限公司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69D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FC1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生态多功能植物源复合纤维关键技术制备及产业化应用</w:t>
            </w:r>
          </w:p>
        </w:tc>
      </w:tr>
      <w:tr w14:paraId="05ED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C1F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29C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山东鲁源电器设备有限公司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A32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B13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光储充多能互补智慧充电站系统开发与推广</w:t>
            </w:r>
          </w:p>
        </w:tc>
      </w:tr>
      <w:tr w14:paraId="4486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781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C4F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山东凯恩新材料科技有限公司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97E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EFF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高性能多嵌段微相形态共聚酰胺MBPA</w:t>
            </w:r>
          </w:p>
        </w:tc>
      </w:tr>
      <w:tr w14:paraId="44328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542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54F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海汇新能源汽车有限公司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53C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6D9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限定作业区智能巡航式环卫清扫装备</w:t>
            </w:r>
          </w:p>
        </w:tc>
      </w:tr>
      <w:tr w14:paraId="7DF7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FCB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F83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山东华光光电子股份有限公司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072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1B3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高功率密度大面阵泵浦源技术研究</w:t>
            </w:r>
          </w:p>
        </w:tc>
      </w:tr>
      <w:tr w14:paraId="63C2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496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D40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山东丰融新材料有限公司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F59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3C1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废旧动力电池智能回收及资源化利用技术</w:t>
            </w:r>
          </w:p>
        </w:tc>
      </w:tr>
      <w:tr w14:paraId="13B3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067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947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泰安市康宇医疗器械有限公司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DD9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3C2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基于体态密度法的人体成分检测与智能营养诊疗一体化系统研发及产业化</w:t>
            </w:r>
          </w:p>
        </w:tc>
      </w:tr>
      <w:tr w14:paraId="3CCE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9B7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50A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山东九鑫生物工程有限公司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660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华南协同创新研究院</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F9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化妆品中一种海洋生物去屑组合物及其制备方法与应用</w:t>
            </w:r>
          </w:p>
        </w:tc>
      </w:tr>
      <w:tr w14:paraId="0337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9EB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D63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山东东临新材料股份有限公司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6A1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潍坊世纪阳光知识产权代理有限公司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58A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高性能PVC树脂改性剂关键技术研发及产业化</w:t>
            </w:r>
          </w:p>
        </w:tc>
      </w:tr>
      <w:tr w14:paraId="19F67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C35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E2E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山东盛华新材料科技股份有限公司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D8A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烟台浪知淘知识产权代理事务所(普通合伙)</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9E2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TFT类环己烷液晶中间体及单体</w:t>
            </w:r>
          </w:p>
        </w:tc>
      </w:tr>
      <w:tr w14:paraId="1EBB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765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72A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名流环境科技股份有限公司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C5A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威海科星专利事务所</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9E4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智能餐厨废弃物处理装备</w:t>
            </w:r>
          </w:p>
        </w:tc>
      </w:tr>
      <w:tr w14:paraId="705A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0DF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B6C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东方空间技术（山东）有限公司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39C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东方空间技术（北京）有限公司、东方空间（山东）装备科技有限公司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B94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运载火箭综合航电系统研发</w:t>
            </w:r>
          </w:p>
        </w:tc>
      </w:tr>
      <w:tr w14:paraId="3F81F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BAD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9C4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阿法龙（山东）科技有限公司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618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北京阿法龙科技有限公司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171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基于超表面的超薄全彩光波导芯片研发及大批量制造技术</w:t>
            </w:r>
          </w:p>
        </w:tc>
      </w:tr>
      <w:tr w14:paraId="4C11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C56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278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东营俊富净化科技有限公司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41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0BE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纤维基液体微孔过滤膜材料研究及产业化</w:t>
            </w:r>
          </w:p>
        </w:tc>
      </w:tr>
      <w:tr w14:paraId="7BF1B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EC3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876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淄博金晶新能源有限公司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772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山东理工大学</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D53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钙钛矿电池用TCO导电玻璃</w:t>
            </w:r>
          </w:p>
        </w:tc>
      </w:tr>
      <w:tr w14:paraId="573BF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E19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596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凌云吉恩斯科技有限公司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D6E8">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5EA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一种全自动门环拼焊生产线及其生产方法</w:t>
            </w:r>
          </w:p>
        </w:tc>
      </w:tr>
      <w:tr w14:paraId="3142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78A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098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冠县恒祥轴承制造有限公司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459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D52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人形机器人谐波减速器超精密轴承套圈关键技术研发及产业化</w:t>
            </w:r>
          </w:p>
        </w:tc>
      </w:tr>
      <w:tr w14:paraId="56A1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19F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E8B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山东万达海缆有限公司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7AD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万达集团股份有限公司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E38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多功能海缆地转盘集成系统</w:t>
            </w:r>
          </w:p>
        </w:tc>
      </w:tr>
      <w:tr w14:paraId="2F1FD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C24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B19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森诺科技有限公司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921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森诺技术有限公司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AAA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超空化密闭气浮装置</w:t>
            </w:r>
          </w:p>
        </w:tc>
      </w:tr>
      <w:tr w14:paraId="60FA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C7A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F23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烟台远东精细化工有限公司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AFC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烟台浪知淘知识产权代理事务所（普通合伙）</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6C1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高纯试剂硝酸制备方法的研发</w:t>
            </w:r>
          </w:p>
        </w:tc>
      </w:tr>
      <w:tr w14:paraId="774A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7E3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A62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山东博尔特电梯有限公司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EBB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AA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解决建筑沉降偏移导向失效的钢结构电梯井道自锁防护结构研发项目</w:t>
            </w:r>
          </w:p>
        </w:tc>
      </w:tr>
      <w:tr w14:paraId="69D1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028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1A3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山东华东风机有限公司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997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BF6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磁悬浮高速离心空气压缩机</w:t>
            </w:r>
          </w:p>
        </w:tc>
      </w:tr>
      <w:tr w14:paraId="41EB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838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8D9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烟台环球机床装备股份有限公司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53F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北京中济纬天专利代理公司烟台分公司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E6D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数控转台精度保持性技术</w:t>
            </w:r>
          </w:p>
        </w:tc>
      </w:tr>
      <w:tr w14:paraId="692FC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411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BBD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山东绿邦生物科技有限公司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033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2FD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乳清废水高效去除技术及资源综合利用</w:t>
            </w:r>
          </w:p>
        </w:tc>
      </w:tr>
      <w:tr w14:paraId="0D3F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84B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B0A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山东肯石重工机械有限公司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57E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82E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中小型挖掘机核心技术开发研究</w:t>
            </w:r>
          </w:p>
        </w:tc>
      </w:tr>
      <w:tr w14:paraId="441D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247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F20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威海维赛新材料科技有限公司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C1D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150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珠粒PMI泡沫</w:t>
            </w:r>
          </w:p>
        </w:tc>
      </w:tr>
      <w:tr w14:paraId="6FD2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17D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EC2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天勰力（山东）卫星技术有限公司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2CE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997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天智星座项目</w:t>
            </w:r>
          </w:p>
        </w:tc>
      </w:tr>
      <w:tr w14:paraId="7343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8E8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B02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滨州东海龙活塞有限公司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24B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D39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螺纹焊接式整体锻钢活塞</w:t>
            </w:r>
          </w:p>
        </w:tc>
      </w:tr>
      <w:tr w14:paraId="698A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6D8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3FD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山东海之宝海洋科技有限公司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6AB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山东恒达知识产权股份有限公司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A19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基于营养健康导向的海带面加工关键技术和装备创制及应用</w:t>
            </w:r>
          </w:p>
        </w:tc>
      </w:tr>
      <w:tr w14:paraId="0502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EC4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6E5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山东朱氏药业集团有限公司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708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天津大学</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31B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可实现抗凝血-凝血功能切换的智能留置针研发及产业化</w:t>
            </w:r>
          </w:p>
        </w:tc>
      </w:tr>
      <w:tr w14:paraId="53CCE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75A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DC8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山东路美磁性材料有限公司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43F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C20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基于一种铁基非晶带材用铜辊材料及梯度热处工艺的非晶合金带材制备与产业化</w:t>
            </w:r>
          </w:p>
        </w:tc>
      </w:tr>
      <w:tr w14:paraId="0E582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8BB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FC3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如鲲（山东）新材料科技有限公司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142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97A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双氟磺酰亚胺锂关键技术研究及产业化示范</w:t>
            </w:r>
          </w:p>
        </w:tc>
      </w:tr>
      <w:tr w14:paraId="25D1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9E0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F2A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青岛海高设计制造有限公司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E36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青岛海尔创新科技有限公司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B24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基于生成式人工智能的工业设计一体化平台</w:t>
            </w:r>
          </w:p>
        </w:tc>
      </w:tr>
      <w:tr w14:paraId="69B2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5" w:type="dxa"/>
            <w:tcBorders>
              <w:top w:val="nil"/>
              <w:left w:val="nil"/>
              <w:bottom w:val="nil"/>
              <w:right w:val="nil"/>
            </w:tcBorders>
            <w:shd w:val="clear" w:color="auto" w:fill="auto"/>
            <w:noWrap/>
            <w:vAlign w:val="top"/>
          </w:tcPr>
          <w:p w14:paraId="3B1D0642">
            <w:pPr>
              <w:rPr>
                <w:rFonts w:hint="eastAsia" w:ascii="宋体" w:hAnsi="宋体" w:eastAsia="宋体" w:cs="宋体"/>
                <w:i w:val="0"/>
                <w:iCs w:val="0"/>
                <w:color w:val="000000"/>
                <w:sz w:val="22"/>
                <w:szCs w:val="22"/>
                <w:u w:val="none"/>
              </w:rPr>
            </w:pPr>
          </w:p>
        </w:tc>
        <w:tc>
          <w:tcPr>
            <w:tcW w:w="3545" w:type="dxa"/>
            <w:tcBorders>
              <w:top w:val="nil"/>
              <w:left w:val="nil"/>
              <w:bottom w:val="nil"/>
              <w:right w:val="nil"/>
            </w:tcBorders>
            <w:shd w:val="clear" w:color="auto" w:fill="auto"/>
            <w:vAlign w:val="top"/>
          </w:tcPr>
          <w:p w14:paraId="629E1F09">
            <w:pPr>
              <w:rPr>
                <w:rFonts w:hint="eastAsia" w:ascii="宋体" w:hAnsi="宋体" w:eastAsia="宋体" w:cs="宋体"/>
                <w:i w:val="0"/>
                <w:iCs w:val="0"/>
                <w:color w:val="000000"/>
                <w:sz w:val="22"/>
                <w:szCs w:val="22"/>
                <w:u w:val="none"/>
              </w:rPr>
            </w:pPr>
          </w:p>
        </w:tc>
        <w:tc>
          <w:tcPr>
            <w:tcW w:w="2980" w:type="dxa"/>
            <w:tcBorders>
              <w:top w:val="nil"/>
              <w:left w:val="nil"/>
              <w:bottom w:val="nil"/>
              <w:right w:val="nil"/>
            </w:tcBorders>
            <w:shd w:val="clear" w:color="auto" w:fill="auto"/>
            <w:vAlign w:val="top"/>
          </w:tcPr>
          <w:p w14:paraId="4D90D5F1">
            <w:pPr>
              <w:rPr>
                <w:rFonts w:hint="eastAsia" w:ascii="宋体" w:hAnsi="宋体" w:eastAsia="宋体" w:cs="宋体"/>
                <w:i w:val="0"/>
                <w:iCs w:val="0"/>
                <w:color w:val="000000"/>
                <w:sz w:val="22"/>
                <w:szCs w:val="22"/>
                <w:u w:val="none"/>
              </w:rPr>
            </w:pPr>
          </w:p>
        </w:tc>
        <w:tc>
          <w:tcPr>
            <w:tcW w:w="6493" w:type="dxa"/>
            <w:tcBorders>
              <w:top w:val="nil"/>
              <w:left w:val="nil"/>
              <w:bottom w:val="nil"/>
              <w:right w:val="nil"/>
            </w:tcBorders>
            <w:shd w:val="clear" w:color="auto" w:fill="auto"/>
            <w:vAlign w:val="top"/>
          </w:tcPr>
          <w:p w14:paraId="5C01054A">
            <w:pPr>
              <w:rPr>
                <w:rFonts w:hint="eastAsia" w:ascii="宋体" w:hAnsi="宋体" w:eastAsia="宋体" w:cs="宋体"/>
                <w:i w:val="0"/>
                <w:iCs w:val="0"/>
                <w:color w:val="000000"/>
                <w:sz w:val="22"/>
                <w:szCs w:val="22"/>
                <w:u w:val="none"/>
              </w:rPr>
            </w:pPr>
          </w:p>
        </w:tc>
      </w:tr>
      <w:tr w14:paraId="2C5F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993" w:type="dxa"/>
            <w:gridSpan w:val="4"/>
            <w:tcBorders>
              <w:top w:val="nil"/>
              <w:left w:val="nil"/>
              <w:bottom w:val="nil"/>
              <w:right w:val="nil"/>
            </w:tcBorders>
            <w:shd w:val="clear" w:color="auto" w:fill="auto"/>
            <w:noWrap/>
            <w:vAlign w:val="top"/>
          </w:tcPr>
          <w:p w14:paraId="2EC8AE5E">
            <w:pPr>
              <w:rPr>
                <w:rFonts w:hint="eastAsia" w:ascii="宋体" w:hAnsi="宋体" w:eastAsia="宋体" w:cs="宋体"/>
                <w:i w:val="0"/>
                <w:iCs w:val="0"/>
                <w:color w:val="000000"/>
                <w:sz w:val="22"/>
                <w:szCs w:val="22"/>
                <w:u w:val="none"/>
              </w:rPr>
            </w:pPr>
          </w:p>
          <w:p w14:paraId="65F0DD6C">
            <w:pP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r>
              <w:rPr>
                <w:rFonts w:hint="eastAsia" w:ascii="宋体" w:hAnsi="宋体" w:eastAsia="宋体" w:cs="宋体"/>
                <w:i w:val="0"/>
                <w:iCs w:val="0"/>
                <w:color w:val="000000"/>
                <w:sz w:val="22"/>
                <w:szCs w:val="22"/>
                <w:u w:val="none"/>
                <w:lang w:val="en-US" w:eastAsia="zh-CN"/>
              </w:rPr>
              <w:t xml:space="preserve">                                                    </w:t>
            </w:r>
            <w: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t xml:space="preserve">     </w:t>
            </w:r>
          </w:p>
          <w:p w14:paraId="0392BE16">
            <w:pP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p>
          <w:p w14:paraId="2CB0B936">
            <w:pP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p>
          <w:p w14:paraId="246DB0DB">
            <w:pP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p>
          <w:p w14:paraId="505AC8E7">
            <w:pP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p>
          <w:p w14:paraId="724870F1">
            <w:pPr>
              <w:jc w:val="center"/>
              <w:rPr>
                <w:rFonts w:hint="eastAsia" w:ascii="宋体" w:hAnsi="宋体" w:eastAsia="宋体" w:cs="宋体"/>
                <w:i w:val="0"/>
                <w:iCs w:val="0"/>
                <w:color w:val="000000"/>
                <w:sz w:val="22"/>
                <w:szCs w:val="22"/>
                <w:u w:val="none"/>
              </w:rPr>
            </w:pPr>
            <w: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t>发展组</w:t>
            </w:r>
          </w:p>
        </w:tc>
      </w:tr>
      <w:tr w14:paraId="283F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3018" w:type="dxa"/>
          <w:trHeight w:val="230" w:hRule="atLeast"/>
        </w:trPr>
        <w:tc>
          <w:tcPr>
            <w:tcW w:w="975" w:type="dxa"/>
            <w:tcBorders>
              <w:top w:val="nil"/>
              <w:left w:val="nil"/>
              <w:bottom w:val="nil"/>
              <w:right w:val="nil"/>
            </w:tcBorders>
            <w:shd w:val="clear" w:color="auto" w:fill="auto"/>
            <w:noWrap/>
            <w:vAlign w:val="top"/>
          </w:tcPr>
          <w:p w14:paraId="4D00539A">
            <w:pPr>
              <w:rPr>
                <w:rFonts w:hint="eastAsia" w:ascii="宋体" w:hAnsi="宋体" w:eastAsia="宋体" w:cs="宋体"/>
                <w:i w:val="0"/>
                <w:iCs w:val="0"/>
                <w:color w:val="000000"/>
                <w:sz w:val="22"/>
                <w:szCs w:val="22"/>
                <w:u w:val="none"/>
              </w:rPr>
            </w:pPr>
          </w:p>
        </w:tc>
      </w:tr>
      <w:tr w14:paraId="0B26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CB60">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序号</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FFE3">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参赛单位</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D84F">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联合单位</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C9F3">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参赛项目名称</w:t>
            </w:r>
          </w:p>
        </w:tc>
      </w:tr>
      <w:tr w14:paraId="41BC0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B4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629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鲁南贝特制药有限公司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064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鲁南制药集团股份有限公司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EA1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立他司特滴眼液制备关键技术创新与产业化应用</w:t>
            </w:r>
          </w:p>
        </w:tc>
      </w:tr>
      <w:tr w14:paraId="53C5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4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303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潍柴雷沃智慧农业科技股份有限公司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E72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44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智能无级变速农业动力机械关键技术及产业化</w:t>
            </w:r>
          </w:p>
        </w:tc>
      </w:tr>
      <w:tr w14:paraId="1DDF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7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545" w:type="dxa"/>
            <w:tcBorders>
              <w:top w:val="nil"/>
              <w:left w:val="single" w:color="000000" w:sz="4" w:space="0"/>
              <w:bottom w:val="single" w:color="000000" w:sz="4" w:space="0"/>
              <w:right w:val="single" w:color="000000" w:sz="4" w:space="0"/>
            </w:tcBorders>
            <w:shd w:val="clear" w:color="auto" w:fill="auto"/>
            <w:vAlign w:val="center"/>
          </w:tcPr>
          <w:p w14:paraId="7B5EE68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兰剑智能科技股份有限公司</w:t>
            </w:r>
          </w:p>
        </w:tc>
        <w:tc>
          <w:tcPr>
            <w:tcW w:w="2980" w:type="dxa"/>
            <w:tcBorders>
              <w:top w:val="nil"/>
              <w:left w:val="single" w:color="000000" w:sz="4" w:space="0"/>
              <w:bottom w:val="single" w:color="000000" w:sz="4" w:space="0"/>
              <w:right w:val="single" w:color="000000" w:sz="4" w:space="0"/>
            </w:tcBorders>
            <w:shd w:val="clear" w:color="auto" w:fill="auto"/>
            <w:vAlign w:val="center"/>
          </w:tcPr>
          <w:p w14:paraId="0C576CB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nil"/>
              <w:left w:val="single" w:color="000000" w:sz="4" w:space="0"/>
              <w:bottom w:val="single" w:color="000000" w:sz="4" w:space="0"/>
              <w:right w:val="single" w:color="000000" w:sz="4" w:space="0"/>
            </w:tcBorders>
            <w:shd w:val="clear" w:color="auto" w:fill="auto"/>
            <w:vAlign w:val="center"/>
          </w:tcPr>
          <w:p w14:paraId="0D2C77F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智能物流自主穿梭关键技术研究</w:t>
            </w:r>
          </w:p>
        </w:tc>
      </w:tr>
      <w:tr w14:paraId="25C1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5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2BE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山东天瑞重工有限公司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063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山东磁悬浮产业技术研究院有限公司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FA0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高效节能磁悬浮冷水（热泵）机组关键技术研究与产业化</w:t>
            </w:r>
          </w:p>
        </w:tc>
      </w:tr>
      <w:tr w14:paraId="4D47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2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CC6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寿光富康制药有限公司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E91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山东省分析测试中心</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D83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盐酸二甲双胍及拉唑类等系列药物结晶共性关键技术及产业化</w:t>
            </w:r>
          </w:p>
        </w:tc>
      </w:tr>
      <w:tr w14:paraId="7A1A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7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750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山东国大黄金股份有限公司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BA5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AA2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一种利用湿法浸锑高盐废液提高银铜回收率的方法</w:t>
            </w:r>
          </w:p>
        </w:tc>
      </w:tr>
      <w:tr w14:paraId="3EE5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0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F7B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山东新华医疗器械股份有限公司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593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9E1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手术器械智能柔性包装系统</w:t>
            </w:r>
          </w:p>
        </w:tc>
      </w:tr>
      <w:tr w14:paraId="362C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F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B64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山东豪迈机械科技股份有限公司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9BE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977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面向高温腐蚀工业场景碳化硅节能热交换器应用及产业化</w:t>
            </w:r>
          </w:p>
        </w:tc>
      </w:tr>
      <w:tr w14:paraId="718F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F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469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山推工程机械股份有限公司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A9E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250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AI推土机</w:t>
            </w:r>
          </w:p>
        </w:tc>
      </w:tr>
      <w:tr w14:paraId="0A042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CD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995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山东国瓷功能材料股份有限公司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CA4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F52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高可靠MLCC专用电介质材料开发与产业化</w:t>
            </w:r>
          </w:p>
        </w:tc>
      </w:tr>
      <w:tr w14:paraId="23E65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B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CEE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共达电声股份有限公司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DD5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405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振膜组件及扬声器</w:t>
            </w:r>
          </w:p>
        </w:tc>
      </w:tr>
      <w:tr w14:paraId="3FE88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4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709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美瑞新材料股份有限公司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DEE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美瑞新材料创新中心（山东）有限公司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9E8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热塑性有机硅聚氨酯弹性关键技术创新与产业化</w:t>
            </w:r>
          </w:p>
        </w:tc>
      </w:tr>
      <w:tr w14:paraId="781A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8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070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山东百龙创园生物科技股份有限公司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C3C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AFD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专利菌种驱动的D-阿洛酮糖绿色制造与万吨级产业化</w:t>
            </w:r>
          </w:p>
        </w:tc>
      </w:tr>
      <w:tr w14:paraId="5184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4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0CB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潍柴动力股份有限公司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A06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FC0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燃气发动机高效燃烧关键技术及产业化</w:t>
            </w:r>
          </w:p>
        </w:tc>
      </w:tr>
      <w:tr w14:paraId="70389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C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927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歌尔股份有限公司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7A0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34D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光学模组全自动智能制造高端装备</w:t>
            </w:r>
          </w:p>
        </w:tc>
      </w:tr>
      <w:tr w14:paraId="0CE0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F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FB7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济南二机床集团有限公司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573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5D4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机械压力机湿式离合器用旋转接头关键核心技术研发及产业化</w:t>
            </w:r>
          </w:p>
        </w:tc>
      </w:tr>
      <w:tr w14:paraId="17B3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1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297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浪潮电子信息产业股份有限公司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EA4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0AE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面向AI算力集群的高性能互连设备及应用</w:t>
            </w:r>
          </w:p>
        </w:tc>
      </w:tr>
      <w:tr w14:paraId="4FD0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7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11B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苏州元脑智能科技有限公司</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A65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032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智算中心PCIe高速光互连技术及应用</w:t>
            </w:r>
          </w:p>
        </w:tc>
      </w:tr>
      <w:tr w14:paraId="5B80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5" w:type="dxa"/>
            <w:tcBorders>
              <w:top w:val="nil"/>
              <w:left w:val="nil"/>
              <w:bottom w:val="nil"/>
              <w:right w:val="nil"/>
            </w:tcBorders>
            <w:shd w:val="clear" w:color="auto" w:fill="auto"/>
            <w:noWrap/>
            <w:vAlign w:val="top"/>
          </w:tcPr>
          <w:p w14:paraId="72E7EC83">
            <w:pPr>
              <w:rPr>
                <w:rFonts w:hint="eastAsia" w:ascii="宋体" w:hAnsi="宋体" w:eastAsia="宋体" w:cs="宋体"/>
                <w:i w:val="0"/>
                <w:iCs w:val="0"/>
                <w:color w:val="000000"/>
                <w:sz w:val="22"/>
                <w:szCs w:val="22"/>
                <w:u w:val="none"/>
              </w:rPr>
            </w:pPr>
          </w:p>
        </w:tc>
        <w:tc>
          <w:tcPr>
            <w:tcW w:w="3545" w:type="dxa"/>
            <w:tcBorders>
              <w:top w:val="nil"/>
              <w:left w:val="nil"/>
              <w:bottom w:val="nil"/>
              <w:right w:val="nil"/>
            </w:tcBorders>
            <w:shd w:val="clear" w:color="auto" w:fill="auto"/>
            <w:vAlign w:val="top"/>
          </w:tcPr>
          <w:p w14:paraId="20B95D94">
            <w:pPr>
              <w:rPr>
                <w:rFonts w:hint="eastAsia" w:ascii="宋体" w:hAnsi="宋体" w:eastAsia="宋体" w:cs="宋体"/>
                <w:i w:val="0"/>
                <w:iCs w:val="0"/>
                <w:color w:val="000000"/>
                <w:sz w:val="20"/>
                <w:szCs w:val="20"/>
                <w:u w:val="none"/>
              </w:rPr>
            </w:pPr>
          </w:p>
        </w:tc>
        <w:tc>
          <w:tcPr>
            <w:tcW w:w="2980" w:type="dxa"/>
            <w:tcBorders>
              <w:top w:val="nil"/>
              <w:left w:val="nil"/>
              <w:bottom w:val="nil"/>
              <w:right w:val="nil"/>
            </w:tcBorders>
            <w:shd w:val="clear" w:color="auto" w:fill="auto"/>
            <w:vAlign w:val="top"/>
          </w:tcPr>
          <w:p w14:paraId="60AD2358">
            <w:pPr>
              <w:rPr>
                <w:rFonts w:hint="eastAsia" w:ascii="宋体" w:hAnsi="宋体" w:eastAsia="宋体" w:cs="宋体"/>
                <w:i w:val="0"/>
                <w:iCs w:val="0"/>
                <w:color w:val="000000"/>
                <w:sz w:val="20"/>
                <w:szCs w:val="20"/>
                <w:u w:val="none"/>
              </w:rPr>
            </w:pPr>
          </w:p>
        </w:tc>
        <w:tc>
          <w:tcPr>
            <w:tcW w:w="6493" w:type="dxa"/>
            <w:tcBorders>
              <w:top w:val="nil"/>
              <w:left w:val="nil"/>
              <w:bottom w:val="nil"/>
              <w:right w:val="nil"/>
            </w:tcBorders>
            <w:shd w:val="clear" w:color="auto" w:fill="auto"/>
            <w:vAlign w:val="top"/>
          </w:tcPr>
          <w:p w14:paraId="12EBF500">
            <w:pPr>
              <w:rPr>
                <w:rFonts w:hint="eastAsia" w:ascii="宋体" w:hAnsi="宋体" w:eastAsia="宋体" w:cs="宋体"/>
                <w:i w:val="0"/>
                <w:iCs w:val="0"/>
                <w:color w:val="000000"/>
                <w:sz w:val="20"/>
                <w:szCs w:val="20"/>
                <w:u w:val="none"/>
              </w:rPr>
            </w:pPr>
          </w:p>
        </w:tc>
      </w:tr>
      <w:tr w14:paraId="47095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5" w:type="dxa"/>
            <w:tcBorders>
              <w:top w:val="nil"/>
              <w:left w:val="nil"/>
              <w:bottom w:val="nil"/>
              <w:right w:val="nil"/>
            </w:tcBorders>
            <w:shd w:val="clear" w:color="auto" w:fill="auto"/>
            <w:noWrap/>
            <w:vAlign w:val="top"/>
          </w:tcPr>
          <w:p w14:paraId="3DBCD0E3">
            <w:pPr>
              <w:rPr>
                <w:rFonts w:hint="eastAsia" w:ascii="宋体" w:hAnsi="宋体" w:eastAsia="宋体" w:cs="宋体"/>
                <w:i w:val="0"/>
                <w:iCs w:val="0"/>
                <w:color w:val="000000"/>
                <w:sz w:val="22"/>
                <w:szCs w:val="22"/>
                <w:u w:val="none"/>
              </w:rPr>
            </w:pPr>
          </w:p>
          <w:p w14:paraId="1BA5F751">
            <w:pPr>
              <w:rPr>
                <w:rFonts w:hint="eastAsia" w:ascii="宋体" w:hAnsi="宋体" w:eastAsia="宋体" w:cs="宋体"/>
                <w:i w:val="0"/>
                <w:iCs w:val="0"/>
                <w:color w:val="000000"/>
                <w:sz w:val="22"/>
                <w:szCs w:val="22"/>
                <w:u w:val="none"/>
              </w:rPr>
            </w:pPr>
          </w:p>
        </w:tc>
        <w:tc>
          <w:tcPr>
            <w:tcW w:w="3545" w:type="dxa"/>
            <w:tcBorders>
              <w:top w:val="nil"/>
              <w:left w:val="nil"/>
              <w:bottom w:val="nil"/>
              <w:right w:val="nil"/>
            </w:tcBorders>
            <w:shd w:val="clear" w:color="auto" w:fill="auto"/>
            <w:vAlign w:val="top"/>
          </w:tcPr>
          <w:p w14:paraId="0EBEE1F3">
            <w:pPr>
              <w:rPr>
                <w:rFonts w:hint="eastAsia" w:ascii="宋体" w:hAnsi="宋体" w:eastAsia="宋体" w:cs="宋体"/>
                <w:i w:val="0"/>
                <w:iCs w:val="0"/>
                <w:color w:val="000000"/>
                <w:sz w:val="20"/>
                <w:szCs w:val="20"/>
                <w:u w:val="none"/>
              </w:rPr>
            </w:pPr>
          </w:p>
        </w:tc>
        <w:tc>
          <w:tcPr>
            <w:tcW w:w="2980" w:type="dxa"/>
            <w:tcBorders>
              <w:top w:val="nil"/>
              <w:left w:val="nil"/>
              <w:bottom w:val="nil"/>
              <w:right w:val="nil"/>
            </w:tcBorders>
            <w:shd w:val="clear" w:color="auto" w:fill="auto"/>
            <w:vAlign w:val="top"/>
          </w:tcPr>
          <w:p w14:paraId="66DCF724">
            <w:pPr>
              <w:rPr>
                <w:rFonts w:hint="eastAsia" w:ascii="宋体" w:hAnsi="宋体" w:eastAsia="宋体" w:cs="宋体"/>
                <w:i w:val="0"/>
                <w:iCs w:val="0"/>
                <w:color w:val="000000"/>
                <w:sz w:val="20"/>
                <w:szCs w:val="20"/>
                <w:u w:val="none"/>
              </w:rPr>
            </w:pPr>
          </w:p>
        </w:tc>
        <w:tc>
          <w:tcPr>
            <w:tcW w:w="6493" w:type="dxa"/>
            <w:tcBorders>
              <w:top w:val="nil"/>
              <w:left w:val="nil"/>
              <w:bottom w:val="nil"/>
              <w:right w:val="nil"/>
            </w:tcBorders>
            <w:shd w:val="clear" w:color="auto" w:fill="auto"/>
            <w:vAlign w:val="top"/>
          </w:tcPr>
          <w:p w14:paraId="432A416A">
            <w:pPr>
              <w:rPr>
                <w:rFonts w:hint="eastAsia" w:ascii="宋体" w:hAnsi="宋体" w:eastAsia="宋体" w:cs="宋体"/>
                <w:i w:val="0"/>
                <w:iCs w:val="0"/>
                <w:color w:val="000000"/>
                <w:sz w:val="20"/>
                <w:szCs w:val="20"/>
                <w:u w:val="none"/>
              </w:rPr>
            </w:pPr>
          </w:p>
        </w:tc>
      </w:tr>
      <w:tr w14:paraId="533E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5" w:type="dxa"/>
            <w:tcBorders>
              <w:top w:val="nil"/>
              <w:left w:val="nil"/>
              <w:bottom w:val="nil"/>
              <w:right w:val="nil"/>
            </w:tcBorders>
            <w:shd w:val="clear" w:color="auto" w:fill="auto"/>
            <w:noWrap/>
            <w:vAlign w:val="top"/>
          </w:tcPr>
          <w:p w14:paraId="68803F4B">
            <w:pPr>
              <w:rPr>
                <w:rFonts w:hint="eastAsia" w:ascii="宋体" w:hAnsi="宋体" w:eastAsia="宋体" w:cs="宋体"/>
                <w:i w:val="0"/>
                <w:iCs w:val="0"/>
                <w:color w:val="000000"/>
                <w:sz w:val="22"/>
                <w:szCs w:val="22"/>
                <w:u w:val="none"/>
              </w:rPr>
            </w:pPr>
          </w:p>
        </w:tc>
        <w:tc>
          <w:tcPr>
            <w:tcW w:w="13018" w:type="dxa"/>
            <w:gridSpan w:val="3"/>
            <w:tcBorders>
              <w:top w:val="nil"/>
              <w:left w:val="nil"/>
              <w:bottom w:val="nil"/>
              <w:right w:val="nil"/>
            </w:tcBorders>
            <w:shd w:val="clear" w:color="auto" w:fill="auto"/>
            <w:vAlign w:val="top"/>
          </w:tcPr>
          <w:p w14:paraId="48DC146F">
            <w:pPr>
              <w:keepNext w:val="0"/>
              <w:keepLines w:val="0"/>
              <w:pageBreakBefore w:val="0"/>
              <w:widowControl w:val="0"/>
              <w:kinsoku/>
              <w:wordWrap/>
              <w:overflowPunct/>
              <w:topLinePunct w:val="0"/>
              <w:autoSpaceDE/>
              <w:autoSpaceDN/>
              <w:bidi w:val="0"/>
              <w:adjustRightInd/>
              <w:snapToGrid/>
              <w:spacing w:after="157" w:afterLines="50"/>
              <w:ind w:firstLine="4800" w:firstLineChars="1500"/>
              <w:jc w:val="both"/>
              <w:textAlignment w:val="auto"/>
              <w:rPr>
                <w:rFonts w:hint="default"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44"/>
                <w:sz w:val="32"/>
                <w:szCs w:val="32"/>
                <w:lang w:val="en-US" w:eastAsia="zh-CN" w:bidi="ar-SA"/>
                <w14:textFill>
                  <w14:solidFill>
                    <w14:schemeClr w14:val="tx1"/>
                  </w14:solidFill>
                </w14:textFill>
              </w:rPr>
              <w:t>高校科研院所组</w:t>
            </w:r>
          </w:p>
          <w:p w14:paraId="20F20405">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 xml:space="preserve">   </w:t>
            </w:r>
          </w:p>
        </w:tc>
      </w:tr>
      <w:tr w14:paraId="3287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A05F">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序号</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6E6F">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参赛单位</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BA76">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联合单位</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126D">
            <w:pPr>
              <w:keepNext w:val="0"/>
              <w:keepLines w:val="0"/>
              <w:widowControl/>
              <w:suppressLineNumbers w:val="0"/>
              <w:jc w:val="center"/>
              <w:textAlignment w:val="top"/>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参赛项目名称</w:t>
            </w:r>
          </w:p>
        </w:tc>
      </w:tr>
      <w:tr w14:paraId="13C7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9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545" w:type="dxa"/>
            <w:tcBorders>
              <w:top w:val="nil"/>
              <w:left w:val="single" w:color="000000" w:sz="4" w:space="0"/>
              <w:bottom w:val="single" w:color="000000" w:sz="4" w:space="0"/>
              <w:right w:val="single" w:color="000000" w:sz="4" w:space="0"/>
            </w:tcBorders>
            <w:shd w:val="clear" w:color="auto" w:fill="auto"/>
            <w:vAlign w:val="center"/>
          </w:tcPr>
          <w:p w14:paraId="6C40495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山东省农业科学院畜牧兽医研究所</w:t>
            </w:r>
          </w:p>
        </w:tc>
        <w:tc>
          <w:tcPr>
            <w:tcW w:w="2980" w:type="dxa"/>
            <w:tcBorders>
              <w:top w:val="nil"/>
              <w:left w:val="single" w:color="000000" w:sz="4" w:space="0"/>
              <w:bottom w:val="single" w:color="000000" w:sz="4" w:space="0"/>
              <w:right w:val="single" w:color="000000" w:sz="4" w:space="0"/>
            </w:tcBorders>
            <w:shd w:val="clear" w:color="auto" w:fill="auto"/>
            <w:vAlign w:val="center"/>
          </w:tcPr>
          <w:p w14:paraId="16BBBDB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百克菲（潍坊）生物有限公司</w:t>
            </w:r>
          </w:p>
        </w:tc>
        <w:tc>
          <w:tcPr>
            <w:tcW w:w="6493" w:type="dxa"/>
            <w:tcBorders>
              <w:top w:val="nil"/>
              <w:left w:val="single" w:color="000000" w:sz="4" w:space="0"/>
              <w:bottom w:val="single" w:color="000000" w:sz="4" w:space="0"/>
              <w:right w:val="single" w:color="000000" w:sz="4" w:space="0"/>
            </w:tcBorders>
            <w:shd w:val="clear" w:color="auto" w:fill="auto"/>
            <w:vAlign w:val="center"/>
          </w:tcPr>
          <w:p w14:paraId="235A921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新型绿色抗菌生物制剂——破解超级细菌防治难题</w:t>
            </w:r>
          </w:p>
        </w:tc>
      </w:tr>
      <w:tr w14:paraId="0FDF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1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FDE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山东交通学院</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B7A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山东黄河顺成水利水电工程有限公司、山东知圣律师事务所</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51E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大体积水闸裂缝控制一体化技术</w:t>
            </w:r>
          </w:p>
        </w:tc>
      </w:tr>
      <w:tr w14:paraId="11716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E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0C6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枣庄学院</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C02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山东省枣庄生态环境监测中心</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C68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光伏驱动固废陶粒固定床农村生活污水处理装置</w:t>
            </w:r>
            <w:bookmarkStart w:id="0" w:name="_GoBack"/>
            <w:bookmarkEnd w:id="0"/>
          </w:p>
        </w:tc>
      </w:tr>
      <w:tr w14:paraId="634E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9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D77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哈尔滨工业大学（威海）</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F8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佩敏（山东）知识产权有限公司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455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虚拟电厂的数智化关键技术及应用</w:t>
            </w:r>
          </w:p>
        </w:tc>
      </w:tr>
      <w:tr w14:paraId="245EA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8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B1F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临沂大学</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C22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山东青辉材料科技有限公司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447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智能增材制造全流程精准控制系统关键技术及产业化应用</w:t>
            </w:r>
          </w:p>
        </w:tc>
      </w:tr>
      <w:tr w14:paraId="485F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B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038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山东大学</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274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5F1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隧道工程全时域激发极化超前预报关键技术、装备及应用</w:t>
            </w:r>
          </w:p>
        </w:tc>
      </w:tr>
      <w:tr w14:paraId="0230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9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26F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山东大学</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888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102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深地智探——地下工程施工爆破震源无人化超前预报技术</w:t>
            </w:r>
          </w:p>
        </w:tc>
      </w:tr>
      <w:tr w14:paraId="7FAA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D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283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日照职业技术大学</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550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山东绿星密码生物科技有限公司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78A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利用南极磷虾中的脂质开发高端动物医养产品</w:t>
            </w:r>
          </w:p>
        </w:tc>
      </w:tr>
      <w:tr w14:paraId="3DF24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B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742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山东第一医科大学药学院（药物研究所）</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C50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8CD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AI助力“智药平台”之抗肿瘤药物发现</w:t>
            </w:r>
          </w:p>
        </w:tc>
      </w:tr>
      <w:tr w14:paraId="54BE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8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384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中国石油大学（华东）</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5FA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青岛科技大学、中国石油集团海洋工程（青岛）有限公司、南海西部石油油田服务（深圳）有限公司、山东省科学院激光研究所</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9DF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海洋油气输送管道非侵入多参数实时监测技术及应用</w:t>
            </w:r>
          </w:p>
        </w:tc>
      </w:tr>
      <w:tr w14:paraId="54634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D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271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山东省产品质量检验研究院</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C53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379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光谱智检：保障民生安全的工业品无损快检</w:t>
            </w:r>
          </w:p>
        </w:tc>
      </w:tr>
      <w:tr w14:paraId="4FEBE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2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042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济宁职业技术学院</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7C6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济宁润物生物科技有限公司</w:t>
            </w:r>
          </w:p>
        </w:tc>
        <w:tc>
          <w:tcPr>
            <w:tcW w:w="6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C8C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纳农新田—低流失长效缓释纳米农药技术领航者</w:t>
            </w:r>
          </w:p>
        </w:tc>
      </w:tr>
    </w:tbl>
    <w:p w14:paraId="3616D22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80B0F"/>
    <w:rsid w:val="5B267F53"/>
    <w:rsid w:val="67440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5">
    <w:name w:val="font41"/>
    <w:basedOn w:val="4"/>
    <w:uiPriority w:val="0"/>
    <w:rPr>
      <w:rFonts w:hint="eastAsia" w:ascii="宋体" w:hAnsi="宋体" w:eastAsia="宋体" w:cs="宋体"/>
      <w:color w:val="000000"/>
      <w:sz w:val="20"/>
      <w:szCs w:val="20"/>
      <w:u w:val="none"/>
    </w:rPr>
  </w:style>
  <w:style w:type="character" w:customStyle="1" w:styleId="6">
    <w:name w:val="font01"/>
    <w:basedOn w:val="4"/>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2598</Words>
  <Characters>2664</Characters>
  <Lines>0</Lines>
  <Paragraphs>0</Paragraphs>
  <TotalTime>1</TotalTime>
  <ScaleCrop>false</ScaleCrop>
  <LinksUpToDate>false</LinksUpToDate>
  <CharactersWithSpaces>2724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2026-08-03T07:18:00Z</dcterms:created>
  <dc:creator>HP</dc:creator>
  <cp:lastModifiedBy>庄文</cp:lastModifiedBy>
  <dcterms:modified xsi:type="dcterms:W3CDTF">2026-08-04T02:38:23Z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eyJoZGlkIjoiZDc2NGIzOWNmMTdmOTJlOWMxMzVjY2ZmMjczNmU2ODQiLCJ1c2VySWQiOiIyODAzNzI4ODYifQ==</vt:lpwstr>
  </property>
  <property fmtid="{D5CDD505-2E9C-101B-9397-08002B2CF9AE}" pid="4" name="ICV">
    <vt:lpwstr>9FE05B3479744F3EA3B3F876CE022D60_12</vt:lpwstr>
  </property>
</Properties>
</file>