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after="0" w:afterLines="0" w:line="580" w:lineRule="exact"/>
        <w:jc w:val="both"/>
        <w:rPr>
          <w:rFonts w:hint="default" w:ascii="Times New Roman" w:hAnsi="Times New Roman" w:eastAsia="黑体" w:cs="Times New Roman"/>
          <w:sz w:val="32"/>
          <w:szCs w:val="32"/>
          <w:lang w:val="en-US" w:eastAsia="zh-CN"/>
        </w:rPr>
      </w:pPr>
      <w:bookmarkStart w:id="0" w:name="_GoBack"/>
      <w:bookmarkEnd w:id="0"/>
      <w:r>
        <w:rPr>
          <w:rFonts w:hint="default" w:ascii="Times New Roman" w:hAnsi="Times New Roman" w:eastAsia="黑体" w:cs="Times New Roman"/>
          <w:sz w:val="32"/>
          <w:szCs w:val="32"/>
          <w:lang w:val="en-US" w:eastAsia="zh-CN"/>
        </w:rPr>
        <w:t>附件2</w:t>
      </w:r>
    </w:p>
    <w:p>
      <w:pPr>
        <w:adjustRightInd/>
        <w:spacing w:after="0" w:afterLines="0" w:line="580" w:lineRule="exact"/>
        <w:jc w:val="center"/>
        <w:rPr>
          <w:rFonts w:hint="eastAsia" w:ascii="方正小标宋简体" w:hAnsi="方正小标宋简体" w:eastAsia="方正小标宋简体" w:cs="方正小标宋简体"/>
          <w:sz w:val="44"/>
          <w:szCs w:val="44"/>
        </w:rPr>
      </w:pPr>
    </w:p>
    <w:p>
      <w:pPr>
        <w:adjustRightInd/>
        <w:spacing w:after="0" w:afterLines="0"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山东省技术转移人才培养基地</w:t>
      </w:r>
      <w:r>
        <w:rPr>
          <w:rFonts w:hint="eastAsia" w:ascii="方正小标宋简体" w:hAnsi="方正小标宋简体" w:eastAsia="方正小标宋简体" w:cs="方正小标宋简体"/>
          <w:sz w:val="44"/>
          <w:szCs w:val="44"/>
          <w:lang w:val="en-US" w:eastAsia="zh-CN"/>
        </w:rPr>
        <w:t>认定</w:t>
      </w:r>
      <w:r>
        <w:rPr>
          <w:rFonts w:hint="eastAsia" w:ascii="方正小标宋简体" w:hAnsi="方正小标宋简体" w:eastAsia="方正小标宋简体" w:cs="方正小标宋简体"/>
          <w:sz w:val="44"/>
          <w:szCs w:val="44"/>
        </w:rPr>
        <w:t>管理办法</w:t>
      </w:r>
    </w:p>
    <w:p>
      <w:pPr>
        <w:adjustRightInd/>
        <w:spacing w:after="0" w:afterLines="0" w:line="58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征求意见</w:t>
      </w:r>
      <w:r>
        <w:rPr>
          <w:rFonts w:hint="eastAsia" w:ascii="楷体_GB2312" w:hAnsi="楷体_GB2312" w:eastAsia="楷体_GB2312" w:cs="楷体_GB2312"/>
          <w:sz w:val="32"/>
          <w:szCs w:val="32"/>
        </w:rPr>
        <w:t>稿）</w:t>
      </w:r>
    </w:p>
    <w:p>
      <w:pPr>
        <w:pStyle w:val="23"/>
        <w:shd w:val="clear" w:color="auto" w:fill="FFFFFF"/>
        <w:adjustRightInd/>
        <w:spacing w:after="0" w:afterLines="0" w:line="580" w:lineRule="exact"/>
        <w:ind w:firstLine="3360" w:firstLineChars="1050"/>
        <w:rPr>
          <w:rStyle w:val="29"/>
          <w:rFonts w:hint="eastAsia" w:ascii="黑体" w:hAnsi="黑体" w:eastAsia="黑体" w:cs="黑体"/>
          <w:b w:val="0"/>
          <w:color w:val="333333"/>
          <w:sz w:val="32"/>
          <w:szCs w:val="32"/>
          <w:u w:val="none"/>
        </w:rPr>
      </w:pPr>
    </w:p>
    <w:p>
      <w:pPr>
        <w:pStyle w:val="23"/>
        <w:shd w:val="clear" w:color="auto" w:fill="FFFFFF"/>
        <w:adjustRightInd/>
        <w:spacing w:after="0" w:afterLines="0" w:line="580" w:lineRule="exact"/>
        <w:ind w:firstLine="3360" w:firstLineChars="1050"/>
        <w:rPr>
          <w:rStyle w:val="29"/>
          <w:rFonts w:hint="eastAsia" w:ascii="仿宋_GB2312" w:eastAsia="仿宋_GB2312"/>
          <w:color w:val="333333"/>
          <w:sz w:val="32"/>
          <w:szCs w:val="32"/>
          <w:u w:val="none"/>
        </w:rPr>
      </w:pPr>
      <w:r>
        <w:rPr>
          <w:rStyle w:val="29"/>
          <w:rFonts w:hint="eastAsia" w:ascii="黑体" w:hAnsi="黑体" w:eastAsia="黑体" w:cs="黑体"/>
          <w:b w:val="0"/>
          <w:color w:val="333333"/>
          <w:sz w:val="32"/>
          <w:szCs w:val="32"/>
          <w:u w:val="none"/>
        </w:rPr>
        <w:t>第一章  总 则</w:t>
      </w:r>
    </w:p>
    <w:p>
      <w:pPr>
        <w:pStyle w:val="23"/>
        <w:shd w:val="clear" w:color="auto" w:fill="FFFFFF"/>
        <w:adjustRightInd/>
        <w:spacing w:after="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黑体"/>
          <w:bCs/>
          <w:sz w:val="32"/>
          <w:szCs w:val="32"/>
        </w:rPr>
        <w:t xml:space="preserve">第一条  </w:t>
      </w:r>
      <w:r>
        <w:rPr>
          <w:rFonts w:ascii="Times New Roman" w:hAnsi="Times New Roman" w:eastAsia="仿宋_GB2312" w:cs="Times New Roman"/>
          <w:sz w:val="32"/>
          <w:szCs w:val="32"/>
        </w:rPr>
        <w:t>为深入落实创新驱动发展战略和人才强省战略，加快培养一支高水平专业化的技术转移人才队伍，促进科技成果转化，根据</w:t>
      </w:r>
      <w:r>
        <w:rPr>
          <w:rFonts w:hint="eastAsia" w:ascii="Times New Roman" w:hAnsi="Times New Roman" w:eastAsia="仿宋_GB2312" w:cs="Times New Roman"/>
          <w:sz w:val="32"/>
          <w:szCs w:val="32"/>
        </w:rPr>
        <w:t>《中华人民共和国促进科技成果转化法》《山东省</w:t>
      </w:r>
      <w:r>
        <w:rPr>
          <w:rFonts w:hint="eastAsia" w:ascii="Times New Roman" w:hAnsi="Times New Roman" w:eastAsia="仿宋_GB2312" w:cs="Times New Roman"/>
          <w:sz w:val="32"/>
          <w:szCs w:val="32"/>
          <w:lang w:val="en-US" w:eastAsia="zh-CN"/>
        </w:rPr>
        <w:t>促进</w:t>
      </w:r>
      <w:r>
        <w:rPr>
          <w:rFonts w:hint="eastAsia" w:ascii="Times New Roman" w:hAnsi="Times New Roman" w:eastAsia="仿宋_GB2312" w:cs="Times New Roman"/>
          <w:sz w:val="32"/>
          <w:szCs w:val="32"/>
        </w:rPr>
        <w:t>科技成果转化条例》</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山东省人民政府办公厅</w:t>
      </w:r>
      <w:r>
        <w:rPr>
          <w:rFonts w:ascii="Times New Roman" w:hAnsi="Times New Roman" w:eastAsia="仿宋_GB2312" w:cs="Times New Roman"/>
          <w:sz w:val="32"/>
          <w:szCs w:val="32"/>
        </w:rPr>
        <w:t>关于加快科技成果转化的若干措施》（鲁政办字〔2024〕148号）等文件，结合我省实际，制订本办法。</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黑体" w:hAnsi="黑体" w:eastAsia="黑体" w:cs="黑体"/>
          <w:bCs/>
          <w:sz w:val="32"/>
          <w:szCs w:val="32"/>
        </w:rPr>
        <w:t xml:space="preserve">第二条  </w:t>
      </w:r>
      <w:r>
        <w:rPr>
          <w:rFonts w:hint="eastAsia" w:ascii="仿宋_GB2312" w:hAnsi="仿宋" w:eastAsia="仿宋_GB2312"/>
          <w:sz w:val="32"/>
          <w:szCs w:val="32"/>
        </w:rPr>
        <w:t>山东省技术转移人才培养基地（以下简称“基地”）是指经省科技厅认定，依托有关法人单位（以下简称“依托单位”），承担技术转移人员专业能力培养任务的实体机构。</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黑体" w:hAnsi="黑体" w:eastAsia="黑体" w:cs="黑体"/>
          <w:bCs/>
          <w:sz w:val="32"/>
          <w:szCs w:val="32"/>
        </w:rPr>
        <w:t xml:space="preserve">第三条  </w:t>
      </w:r>
      <w:r>
        <w:rPr>
          <w:rFonts w:hint="eastAsia" w:ascii="仿宋_GB2312" w:hAnsi="仿宋" w:eastAsia="仿宋_GB2312"/>
          <w:sz w:val="32"/>
          <w:szCs w:val="32"/>
        </w:rPr>
        <w:t>基地是我省为培养专业化技术转移人才、活跃技术市场体系、促进科技成果转移转化而设立的重要</w:t>
      </w:r>
      <w:r>
        <w:rPr>
          <w:rFonts w:hint="eastAsia" w:ascii="仿宋_GB2312" w:hAnsi="仿宋" w:eastAsia="仿宋_GB2312"/>
          <w:sz w:val="32"/>
          <w:szCs w:val="32"/>
          <w:lang w:val="en-US" w:eastAsia="zh-CN"/>
        </w:rPr>
        <w:t>载体</w:t>
      </w:r>
      <w:r>
        <w:rPr>
          <w:rFonts w:hint="eastAsia" w:ascii="仿宋_GB2312" w:hAnsi="仿宋" w:eastAsia="仿宋_GB2312"/>
          <w:sz w:val="32"/>
          <w:szCs w:val="32"/>
        </w:rPr>
        <w:t>，致力于通过系统培养、实践锻炼，培育一批懂科技、懂投资、懂市场、懂管理、懂政策的技术转移人才。</w:t>
      </w:r>
    </w:p>
    <w:p>
      <w:pPr>
        <w:pStyle w:val="37"/>
        <w:shd w:val="clear" w:color="auto" w:fill="FFFFFF"/>
        <w:adjustRightInd/>
        <w:spacing w:before="0" w:beforeAutospacing="0" w:after="0" w:afterLines="0" w:afterAutospacing="0" w:line="580" w:lineRule="exact"/>
        <w:jc w:val="both"/>
        <w:rPr>
          <w:rFonts w:hint="eastAsia" w:ascii="黑体" w:hAnsi="黑体" w:eastAsia="黑体"/>
          <w:bCs/>
          <w:sz w:val="32"/>
          <w:szCs w:val="32"/>
        </w:rPr>
      </w:pPr>
    </w:p>
    <w:p>
      <w:pPr>
        <w:pStyle w:val="37"/>
        <w:shd w:val="clear" w:color="auto" w:fill="FFFFFF"/>
        <w:adjustRightInd/>
        <w:spacing w:before="0" w:beforeAutospacing="0" w:after="0" w:afterLines="0" w:afterAutospacing="0" w:line="580" w:lineRule="exact"/>
        <w:jc w:val="center"/>
        <w:rPr>
          <w:rFonts w:hint="eastAsia" w:ascii="黑体" w:hAnsi="黑体" w:eastAsia="黑体"/>
        </w:rPr>
      </w:pPr>
      <w:r>
        <w:rPr>
          <w:rFonts w:hint="eastAsia" w:ascii="黑体" w:hAnsi="黑体" w:eastAsia="黑体"/>
          <w:bCs/>
          <w:sz w:val="32"/>
          <w:szCs w:val="32"/>
        </w:rPr>
        <w:t>第二章  工作职责</w:t>
      </w:r>
    </w:p>
    <w:p>
      <w:pPr>
        <w:pStyle w:val="38"/>
        <w:shd w:val="clear" w:color="auto" w:fill="FFFFFF"/>
        <w:adjustRightInd/>
        <w:spacing w:before="0" w:beforeAutospacing="0" w:after="0" w:afterLines="0" w:afterAutospacing="0" w:line="580" w:lineRule="exact"/>
        <w:ind w:firstLine="640" w:firstLineChars="200"/>
        <w:jc w:val="both"/>
        <w:rPr>
          <w:rFonts w:hint="eastAsia" w:ascii="仿宋_GB2312" w:hAnsi="仿宋" w:eastAsia="仿宋_GB2312"/>
          <w:sz w:val="32"/>
          <w:szCs w:val="32"/>
        </w:rPr>
      </w:pPr>
      <w:r>
        <w:rPr>
          <w:rFonts w:hint="eastAsia" w:ascii="黑体" w:hAnsi="黑体" w:eastAsia="黑体" w:cs="黑体"/>
          <w:bCs/>
          <w:kern w:val="2"/>
          <w:sz w:val="32"/>
          <w:szCs w:val="32"/>
        </w:rPr>
        <w:t xml:space="preserve">第四条  </w:t>
      </w:r>
      <w:r>
        <w:rPr>
          <w:rFonts w:hint="eastAsia" w:ascii="仿宋_GB2312" w:hAnsi="仿宋" w:eastAsia="仿宋_GB2312"/>
          <w:sz w:val="32"/>
          <w:szCs w:val="32"/>
        </w:rPr>
        <w:t>省科技厅负责基地的认定、管理和绩效评价，组织开展基地交流、协作，加强对技术转移人才培养工作的指导。</w:t>
      </w:r>
    </w:p>
    <w:p>
      <w:pPr>
        <w:pStyle w:val="38"/>
        <w:shd w:val="clear" w:color="auto" w:fill="FFFFFF"/>
        <w:adjustRightInd/>
        <w:spacing w:before="0" w:beforeAutospacing="0" w:after="0" w:afterLines="0" w:afterAutospacing="0" w:line="580" w:lineRule="exact"/>
        <w:ind w:firstLine="640" w:firstLineChars="200"/>
        <w:jc w:val="both"/>
        <w:rPr>
          <w:rFonts w:hint="eastAsia" w:ascii="仿宋_GB2312" w:hAnsi="仿宋" w:eastAsia="仿宋_GB2312"/>
          <w:sz w:val="32"/>
          <w:szCs w:val="32"/>
        </w:rPr>
      </w:pPr>
      <w:r>
        <w:rPr>
          <w:rFonts w:hint="eastAsia" w:ascii="黑体" w:hAnsi="黑体" w:eastAsia="黑体" w:cs="黑体"/>
          <w:bCs/>
          <w:kern w:val="2"/>
          <w:sz w:val="32"/>
          <w:szCs w:val="32"/>
        </w:rPr>
        <w:t xml:space="preserve">第五条  </w:t>
      </w:r>
      <w:r>
        <w:rPr>
          <w:rFonts w:hint="eastAsia" w:ascii="仿宋_GB2312" w:hAnsi="仿宋" w:eastAsia="仿宋_GB2312"/>
          <w:sz w:val="32"/>
          <w:szCs w:val="32"/>
        </w:rPr>
        <w:t>省直有关部门和各市科技局负责本系统、本区域基地的组织申报、业务指导和具体管理工作，审核上报年度培养计划、总结报告和绩效评价资料。</w:t>
      </w:r>
    </w:p>
    <w:p>
      <w:pPr>
        <w:pStyle w:val="38"/>
        <w:shd w:val="clear" w:color="auto" w:fill="FFFFFF"/>
        <w:adjustRightInd/>
        <w:spacing w:before="0" w:beforeAutospacing="0" w:after="0" w:afterLines="0" w:afterAutospacing="0" w:line="580" w:lineRule="exact"/>
        <w:ind w:firstLine="640" w:firstLineChars="200"/>
        <w:jc w:val="both"/>
        <w:rPr>
          <w:rStyle w:val="29"/>
          <w:rFonts w:hint="eastAsia" w:ascii="仿宋_GB2312" w:hAnsi="仿宋" w:eastAsia="宋体"/>
          <w:b w:val="0"/>
          <w:sz w:val="32"/>
          <w:szCs w:val="32"/>
        </w:rPr>
      </w:pPr>
      <w:r>
        <w:rPr>
          <w:rFonts w:hint="eastAsia" w:ascii="黑体" w:hAnsi="黑体" w:eastAsia="黑体" w:cs="黑体"/>
          <w:bCs/>
          <w:kern w:val="2"/>
          <w:sz w:val="32"/>
          <w:szCs w:val="32"/>
        </w:rPr>
        <w:t xml:space="preserve">第六条  </w:t>
      </w:r>
      <w:r>
        <w:rPr>
          <w:rFonts w:hint="eastAsia" w:ascii="仿宋_GB2312" w:hAnsi="仿宋" w:eastAsia="仿宋_GB2312"/>
          <w:sz w:val="32"/>
          <w:szCs w:val="32"/>
        </w:rPr>
        <w:t>依托单位是</w:t>
      </w:r>
      <w:r>
        <w:rPr>
          <w:rFonts w:hint="eastAsia" w:ascii="仿宋_GB2312" w:hAnsi="仿宋_GB2312" w:eastAsia="仿宋_GB2312" w:cs="仿宋_GB2312"/>
          <w:color w:val="333333"/>
          <w:sz w:val="32"/>
          <w:szCs w:val="32"/>
          <w:shd w:val="clear" w:color="auto" w:fill="FFFFFF"/>
        </w:rPr>
        <w:t>基地建设的直接责任主体，在各级科技行政管理部门指导下，建立健全基地管理机构，</w:t>
      </w:r>
      <w:r>
        <w:rPr>
          <w:rFonts w:hint="eastAsia" w:ascii="仿宋_GB2312" w:hAnsi="仿宋" w:eastAsia="仿宋_GB2312"/>
          <w:sz w:val="32"/>
          <w:szCs w:val="32"/>
        </w:rPr>
        <w:t>完善管理制度体系，创新工作机制，不断提高基地建设水平和人才培养成效。</w:t>
      </w:r>
    </w:p>
    <w:p>
      <w:pPr>
        <w:pStyle w:val="23"/>
        <w:shd w:val="clear" w:color="auto" w:fill="FFFFFF"/>
        <w:adjustRightInd/>
        <w:spacing w:after="0" w:afterLines="0" w:line="580" w:lineRule="exact"/>
        <w:rPr>
          <w:rStyle w:val="29"/>
          <w:rFonts w:hint="eastAsia" w:ascii="黑体" w:hAnsi="黑体" w:eastAsia="黑体" w:cs="黑体"/>
          <w:b w:val="0"/>
          <w:color w:val="333333"/>
          <w:sz w:val="32"/>
          <w:szCs w:val="32"/>
        </w:rPr>
      </w:pPr>
    </w:p>
    <w:p>
      <w:pPr>
        <w:pStyle w:val="23"/>
        <w:shd w:val="clear" w:color="auto" w:fill="FFFFFF"/>
        <w:adjustRightInd/>
        <w:spacing w:after="0" w:afterLines="0" w:line="580" w:lineRule="exact"/>
        <w:jc w:val="center"/>
        <w:rPr>
          <w:rStyle w:val="29"/>
          <w:rFonts w:hint="eastAsia" w:ascii="仿宋_GB2312" w:eastAsia="仿宋_GB2312"/>
          <w:color w:val="333333"/>
          <w:sz w:val="32"/>
          <w:szCs w:val="32"/>
          <w:u w:val="none"/>
        </w:rPr>
      </w:pPr>
      <w:r>
        <w:rPr>
          <w:rStyle w:val="29"/>
          <w:rFonts w:hint="eastAsia" w:ascii="黑体" w:hAnsi="黑体" w:eastAsia="黑体" w:cs="黑体"/>
          <w:b w:val="0"/>
          <w:color w:val="333333"/>
          <w:sz w:val="32"/>
          <w:szCs w:val="32"/>
          <w:u w:val="none"/>
        </w:rPr>
        <w:t>第三章  认定条件与程序</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黑体" w:hAnsi="黑体" w:eastAsia="黑体" w:cs="黑体"/>
          <w:bCs/>
          <w:sz w:val="32"/>
          <w:szCs w:val="32"/>
        </w:rPr>
        <w:t xml:space="preserve">第七条  </w:t>
      </w:r>
      <w:r>
        <w:rPr>
          <w:rFonts w:hint="eastAsia" w:ascii="仿宋_GB2312" w:hAnsi="仿宋" w:eastAsia="仿宋_GB2312"/>
          <w:sz w:val="32"/>
          <w:szCs w:val="32"/>
        </w:rPr>
        <w:t>基地应符合以下条件：</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（一）在山东省境内注册的法人单位；</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（二）具有满足科技成果转化需求的相对稳定的高素质专兼职师资队伍，尤其是拥有一批长期活跃在科技成果转化一线、具有丰富实践经验的科技成果转化项目导师；</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（三）具有良好的科技成果转移转化实战项目参与条件；</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（四）具有健全的教学组织管理、学员考核管理、培养登记管理、培养效果评估、后勤保障及财务管理等基本管理制度；</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（五）具备良好的场所、设备及教材等教学条件；</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（六）符合科研诚信要求。</w:t>
      </w:r>
    </w:p>
    <w:p>
      <w:pPr>
        <w:pStyle w:val="23"/>
        <w:shd w:val="clear" w:color="auto" w:fill="FFFFFF"/>
        <w:adjustRightInd/>
        <w:spacing w:after="0" w:afterLines="0" w:line="580" w:lineRule="exact"/>
        <w:ind w:firstLine="640" w:firstLineChars="200"/>
        <w:rPr>
          <w:rFonts w:hint="eastAsia" w:ascii="仿宋_GB2312" w:eastAsia="仿宋_GB2312"/>
          <w:color w:val="333333"/>
          <w:sz w:val="32"/>
          <w:szCs w:val="32"/>
        </w:rPr>
      </w:pPr>
      <w:r>
        <w:rPr>
          <w:rFonts w:hint="eastAsia" w:ascii="黑体" w:hAnsi="黑体" w:eastAsia="黑体" w:cs="黑体"/>
          <w:bCs/>
          <w:sz w:val="32"/>
          <w:szCs w:val="32"/>
        </w:rPr>
        <w:t xml:space="preserve">第八条  </w:t>
      </w:r>
      <w:r>
        <w:rPr>
          <w:rFonts w:hint="eastAsia" w:ascii="仿宋_GB2312" w:hAnsi="仿宋" w:eastAsia="仿宋_GB2312"/>
          <w:sz w:val="32"/>
          <w:szCs w:val="32"/>
        </w:rPr>
        <w:t>基地认定程序：</w:t>
      </w:r>
    </w:p>
    <w:p>
      <w:pPr>
        <w:adjustRightInd/>
        <w:snapToGrid/>
        <w:spacing w:after="0" w:afterLines="0" w:line="580" w:lineRule="exact"/>
        <w:ind w:firstLine="640" w:firstLineChars="200"/>
        <w:contextualSpacing/>
        <w:rPr>
          <w:rFonts w:ascii="Times New Roman" w:hAnsi="Times New Roman" w:eastAsia="仿宋_GB2312" w:cs="Times New Roman"/>
          <w:sz w:val="32"/>
          <w:szCs w:val="32"/>
        </w:rPr>
      </w:pPr>
      <w:r>
        <w:rPr>
          <w:rFonts w:ascii="Times New Roman" w:hAnsi="Times New Roman" w:eastAsia="楷体_GB2312" w:cs="Times New Roman"/>
          <w:sz w:val="32"/>
          <w:szCs w:val="32"/>
        </w:rPr>
        <w:t>（一）组织申报。</w:t>
      </w:r>
      <w:r>
        <w:rPr>
          <w:rFonts w:ascii="Times New Roman" w:hAnsi="Times New Roman" w:eastAsia="仿宋_GB2312" w:cs="Times New Roman"/>
          <w:sz w:val="32"/>
          <w:szCs w:val="32"/>
        </w:rPr>
        <w:t>符合条件的</w:t>
      </w:r>
      <w:r>
        <w:rPr>
          <w:rFonts w:hint="eastAsia" w:ascii="Times New Roman" w:hAnsi="Times New Roman" w:eastAsia="仿宋_GB2312" w:cs="Times New Roman"/>
          <w:sz w:val="32"/>
          <w:szCs w:val="32"/>
        </w:rPr>
        <w:t>依托单位</w:t>
      </w:r>
      <w:r>
        <w:rPr>
          <w:rFonts w:ascii="Times New Roman" w:hAnsi="Times New Roman" w:eastAsia="仿宋_GB2312" w:cs="Times New Roman"/>
          <w:sz w:val="32"/>
          <w:szCs w:val="32"/>
        </w:rPr>
        <w:t>，按照申报要求，编写基地认定申报材料，省直有关部门和各市科技局对申报材料的真实性、完整性、规范性等进行初审核实，并进行推荐。</w:t>
      </w:r>
    </w:p>
    <w:p>
      <w:pPr>
        <w:adjustRightInd/>
        <w:snapToGrid/>
        <w:spacing w:after="0" w:afterLines="0" w:line="580" w:lineRule="exact"/>
        <w:ind w:firstLine="640" w:firstLineChars="200"/>
        <w:contextualSpacing/>
        <w:rPr>
          <w:rFonts w:ascii="Times New Roman" w:hAnsi="Times New Roman" w:eastAsia="仿宋_GB2312" w:cs="Times New Roman"/>
          <w:sz w:val="32"/>
          <w:szCs w:val="32"/>
        </w:rPr>
      </w:pPr>
      <w:r>
        <w:rPr>
          <w:rFonts w:ascii="Times New Roman" w:hAnsi="Times New Roman" w:eastAsia="楷体_GB2312" w:cs="Times New Roman"/>
          <w:sz w:val="32"/>
          <w:szCs w:val="32"/>
        </w:rPr>
        <w:t>（二）专家评审。</w:t>
      </w:r>
      <w:r>
        <w:rPr>
          <w:rFonts w:ascii="Times New Roman" w:hAnsi="Times New Roman" w:eastAsia="仿宋_GB2312" w:cs="Times New Roman"/>
          <w:sz w:val="32"/>
          <w:szCs w:val="32"/>
        </w:rPr>
        <w:t xml:space="preserve">省科技厅对申报材料进行形式审查，组织有关专家进行评审和现场核查，择优提出拟认定基地名单。 </w:t>
      </w:r>
    </w:p>
    <w:p>
      <w:pPr>
        <w:adjustRightInd/>
        <w:snapToGrid/>
        <w:spacing w:after="0" w:afterLines="0" w:line="580" w:lineRule="exact"/>
        <w:ind w:firstLine="640" w:firstLineChars="200"/>
        <w:contextualSpacing/>
        <w:rPr>
          <w:rFonts w:ascii="Times New Roman" w:hAnsi="Times New Roman" w:eastAsia="仿宋_GB2312" w:cs="Times New Roman"/>
          <w:sz w:val="32"/>
          <w:szCs w:val="32"/>
        </w:rPr>
      </w:pPr>
      <w:r>
        <w:rPr>
          <w:rFonts w:ascii="Times New Roman" w:hAnsi="Times New Roman" w:eastAsia="楷体_GB2312" w:cs="Times New Roman"/>
          <w:sz w:val="32"/>
          <w:szCs w:val="32"/>
        </w:rPr>
        <w:t>（三）公示批复。</w:t>
      </w:r>
      <w:r>
        <w:rPr>
          <w:rFonts w:ascii="Times New Roman" w:hAnsi="Times New Roman" w:eastAsia="仿宋_GB2312" w:cs="Times New Roman"/>
          <w:sz w:val="32"/>
          <w:szCs w:val="32"/>
        </w:rPr>
        <w:t>省科技厅对拟认定基地名单公示5个工作日，公示期满且无异议的由省科技厅发文批复。</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基地经认定后，统一名称为“山东省技术转移人才培养基地”。</w:t>
      </w:r>
    </w:p>
    <w:p>
      <w:pPr>
        <w:pStyle w:val="23"/>
        <w:numPr>
          <w:ilvl w:val="255"/>
          <w:numId w:val="0"/>
        </w:numPr>
        <w:shd w:val="clear" w:color="auto" w:fill="FFFFFF"/>
        <w:adjustRightInd/>
        <w:spacing w:after="0" w:afterLines="0" w:line="580" w:lineRule="exact"/>
        <w:ind w:firstLine="640" w:firstLineChars="200"/>
        <w:rPr>
          <w:rStyle w:val="29"/>
          <w:rFonts w:hint="eastAsia" w:ascii="黑体" w:hAnsi="黑体" w:eastAsia="黑体" w:cs="黑体"/>
          <w:b w:val="0"/>
          <w:color w:val="333333"/>
          <w:sz w:val="32"/>
          <w:szCs w:val="32"/>
        </w:rPr>
      </w:pPr>
      <w:r>
        <w:rPr>
          <w:rFonts w:hint="eastAsia" w:ascii="黑体" w:hAnsi="黑体" w:eastAsia="黑体" w:cs="黑体"/>
          <w:bCs/>
          <w:sz w:val="32"/>
          <w:szCs w:val="32"/>
        </w:rPr>
        <w:t xml:space="preserve">第九条  </w:t>
      </w:r>
      <w:r>
        <w:rPr>
          <w:rFonts w:hint="eastAsia" w:ascii="仿宋_GB2312" w:hAnsi="仿宋" w:eastAsia="仿宋_GB2312"/>
          <w:sz w:val="32"/>
          <w:szCs w:val="32"/>
        </w:rPr>
        <w:t>国家技术转移人才培养基地享受省技术转移人才培养基地相关政策和服务。</w:t>
      </w:r>
    </w:p>
    <w:p>
      <w:pPr>
        <w:pStyle w:val="23"/>
        <w:numPr>
          <w:ilvl w:val="255"/>
          <w:numId w:val="0"/>
        </w:numPr>
        <w:shd w:val="clear" w:color="auto" w:fill="FFFFFF"/>
        <w:adjustRightInd/>
        <w:spacing w:after="0" w:afterLines="0" w:line="580" w:lineRule="exact"/>
        <w:rPr>
          <w:rStyle w:val="29"/>
          <w:rFonts w:hint="eastAsia" w:ascii="黑体" w:hAnsi="黑体" w:eastAsia="黑体" w:cs="黑体"/>
          <w:b w:val="0"/>
          <w:color w:val="333333"/>
          <w:sz w:val="32"/>
          <w:szCs w:val="32"/>
        </w:rPr>
      </w:pPr>
    </w:p>
    <w:p>
      <w:pPr>
        <w:pStyle w:val="23"/>
        <w:numPr>
          <w:ilvl w:val="255"/>
          <w:numId w:val="0"/>
        </w:numPr>
        <w:shd w:val="clear" w:color="auto" w:fill="FFFFFF"/>
        <w:adjustRightInd/>
        <w:spacing w:after="0" w:afterLines="0" w:line="580" w:lineRule="exact"/>
        <w:jc w:val="center"/>
        <w:rPr>
          <w:rStyle w:val="29"/>
          <w:rFonts w:hint="default" w:ascii="黑体" w:hAnsi="黑体" w:eastAsia="黑体" w:cs="黑体"/>
          <w:b w:val="0"/>
          <w:color w:val="333333"/>
          <w:sz w:val="32"/>
          <w:szCs w:val="32"/>
          <w:u w:val="none"/>
          <w:lang w:val="en-US"/>
        </w:rPr>
      </w:pPr>
      <w:r>
        <w:rPr>
          <w:rStyle w:val="29"/>
          <w:rFonts w:hint="eastAsia" w:ascii="黑体" w:hAnsi="黑体" w:eastAsia="黑体" w:cs="黑体"/>
          <w:b w:val="0"/>
          <w:color w:val="333333"/>
          <w:sz w:val="32"/>
          <w:szCs w:val="32"/>
          <w:u w:val="none"/>
        </w:rPr>
        <w:t xml:space="preserve">第四章 </w:t>
      </w:r>
      <w:r>
        <w:rPr>
          <w:rStyle w:val="29"/>
          <w:rFonts w:hint="eastAsia" w:ascii="黑体" w:hAnsi="黑体" w:eastAsia="黑体" w:cs="黑体"/>
          <w:b w:val="0"/>
          <w:color w:val="333333"/>
          <w:sz w:val="32"/>
          <w:szCs w:val="32"/>
          <w:u w:val="none"/>
          <w:lang w:val="en-US" w:eastAsia="zh-CN"/>
        </w:rPr>
        <w:t>重点任务</w:t>
      </w:r>
    </w:p>
    <w:p>
      <w:pPr>
        <w:pStyle w:val="23"/>
        <w:widowControl/>
        <w:shd w:val="clear" w:color="auto" w:fill="FFFFFF"/>
        <w:spacing w:after="0" w:afterLines="0" w:line="580" w:lineRule="exact"/>
        <w:ind w:firstLine="640" w:firstLineChars="200"/>
        <w:rPr>
          <w:rFonts w:hint="eastAsia" w:ascii="仿宋_GB2312" w:hAnsi="仿宋" w:eastAsia="仿宋_GB2312" w:cs="宋体"/>
          <w:kern w:val="0"/>
          <w:sz w:val="32"/>
          <w:szCs w:val="32"/>
        </w:rPr>
      </w:pPr>
      <w:r>
        <w:rPr>
          <w:rFonts w:hint="eastAsia" w:ascii="黑体" w:hAnsi="黑体" w:eastAsia="黑体" w:cs="黑体"/>
          <w:bCs/>
          <w:sz w:val="32"/>
          <w:szCs w:val="32"/>
        </w:rPr>
        <w:t xml:space="preserve">第十条  </w:t>
      </w:r>
      <w:r>
        <w:rPr>
          <w:rFonts w:hint="eastAsia" w:ascii="仿宋_GB2312" w:hAnsi="仿宋" w:eastAsia="仿宋_GB2312" w:cs="宋体"/>
          <w:kern w:val="0"/>
          <w:sz w:val="32"/>
          <w:szCs w:val="32"/>
        </w:rPr>
        <w:t>基地应面向广大社会需求，建立市场化培养机制，</w:t>
      </w:r>
      <w:r>
        <w:rPr>
          <w:rFonts w:hint="eastAsia" w:ascii="仿宋_GB2312" w:hAnsi="仿宋" w:eastAsia="仿宋_GB2312" w:cs="宋体"/>
          <w:kern w:val="0"/>
          <w:sz w:val="32"/>
          <w:szCs w:val="32"/>
          <w:lang w:val="en-US" w:eastAsia="zh-CN"/>
        </w:rPr>
        <w:t>面向</w:t>
      </w:r>
      <w:r>
        <w:rPr>
          <w:rFonts w:hint="eastAsia" w:ascii="仿宋_GB2312" w:hAnsi="仿宋" w:eastAsia="仿宋_GB2312" w:cs="宋体"/>
          <w:kern w:val="0"/>
          <w:sz w:val="32"/>
          <w:szCs w:val="32"/>
        </w:rPr>
        <w:t>法律法规、项目挖掘、概念验证、中试孵化、科技金融、产业化落地等科技成果转化全链条</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开展</w:t>
      </w:r>
      <w:r>
        <w:rPr>
          <w:rFonts w:hint="eastAsia" w:ascii="仿宋_GB2312" w:hAnsi="仿宋" w:eastAsia="仿宋_GB2312" w:cs="宋体"/>
          <w:kern w:val="0"/>
          <w:sz w:val="32"/>
          <w:szCs w:val="32"/>
        </w:rPr>
        <w:t>专业化培养。</w:t>
      </w:r>
    </w:p>
    <w:p>
      <w:pPr>
        <w:pStyle w:val="23"/>
        <w:widowControl/>
        <w:numPr>
          <w:ilvl w:val="255"/>
          <w:numId w:val="0"/>
        </w:numPr>
        <w:shd w:val="clear" w:color="auto" w:fill="FFFFFF"/>
        <w:adjustRightInd/>
        <w:spacing w:after="0" w:afterLines="0" w:line="580" w:lineRule="exact"/>
        <w:ind w:firstLine="640" w:firstLineChars="200"/>
        <w:rPr>
          <w:rFonts w:hint="eastAsia" w:ascii="仿宋_GB2312" w:hAnsi="仿宋" w:eastAsia="仿宋_GB2312" w:cs="宋体"/>
          <w:kern w:val="0"/>
          <w:sz w:val="32"/>
          <w:szCs w:val="32"/>
        </w:rPr>
      </w:pPr>
      <w:r>
        <w:rPr>
          <w:rFonts w:hint="eastAsia" w:ascii="黑体" w:hAnsi="黑体" w:eastAsia="黑体" w:cs="黑体"/>
          <w:bCs/>
          <w:sz w:val="32"/>
          <w:szCs w:val="32"/>
        </w:rPr>
        <w:t xml:space="preserve">第十一条  </w:t>
      </w:r>
      <w:r>
        <w:rPr>
          <w:rFonts w:hint="eastAsia" w:ascii="仿宋_GB2312" w:hAnsi="仿宋" w:eastAsia="仿宋_GB2312" w:cs="宋体"/>
          <w:kern w:val="0"/>
          <w:sz w:val="32"/>
          <w:szCs w:val="32"/>
        </w:rPr>
        <w:t>基地应坚持“应用导向、实战导向”，按照“短期速训—中长期进阶—一线实战”的阶梯培养模式进行培养。</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黑体" w:hAnsi="黑体" w:eastAsia="黑体" w:cs="黑体"/>
          <w:bCs/>
          <w:sz w:val="32"/>
          <w:szCs w:val="32"/>
        </w:rPr>
        <w:t xml:space="preserve">第十二条  </w:t>
      </w:r>
      <w:r>
        <w:rPr>
          <w:rFonts w:hint="eastAsia" w:ascii="仿宋_GB2312" w:hAnsi="仿宋" w:eastAsia="仿宋_GB2312"/>
          <w:sz w:val="32"/>
          <w:szCs w:val="32"/>
        </w:rPr>
        <w:t>基地按照省科技厅统一规划，紧密围绕科技成果转化需求，有针对性地开发一批高质量培养教材、课程和项目。</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黑体" w:hAnsi="黑体" w:eastAsia="黑体" w:cs="黑体"/>
          <w:bCs/>
          <w:sz w:val="32"/>
          <w:szCs w:val="32"/>
        </w:rPr>
        <w:t xml:space="preserve">第十三条  </w:t>
      </w:r>
      <w:r>
        <w:rPr>
          <w:rFonts w:hint="eastAsia" w:ascii="仿宋_GB2312" w:hAnsi="仿宋" w:eastAsia="仿宋_GB2312"/>
          <w:sz w:val="32"/>
          <w:szCs w:val="32"/>
        </w:rPr>
        <w:t>基地应紧扣创新发展需要，不断创新培养形式，在培养精准化上下功夫，</w:t>
      </w:r>
      <w:r>
        <w:rPr>
          <w:rFonts w:ascii="仿宋_GB2312" w:hAnsi="仿宋" w:eastAsia="仿宋_GB2312"/>
          <w:sz w:val="32"/>
          <w:szCs w:val="32"/>
        </w:rPr>
        <w:t>探索运用</w:t>
      </w:r>
      <w:r>
        <w:rPr>
          <w:rFonts w:hint="eastAsia" w:ascii="仿宋_GB2312" w:hAnsi="仿宋" w:eastAsia="仿宋_GB2312"/>
          <w:sz w:val="32"/>
          <w:szCs w:val="32"/>
        </w:rPr>
        <w:t>专题讲授、经验分享、案例分析、实地研学、实践实操</w:t>
      </w:r>
      <w:r>
        <w:rPr>
          <w:rFonts w:ascii="仿宋_GB2312" w:hAnsi="仿宋" w:eastAsia="仿宋_GB2312"/>
          <w:sz w:val="32"/>
          <w:szCs w:val="32"/>
        </w:rPr>
        <w:t>等教学方法，提高</w:t>
      </w:r>
      <w:r>
        <w:rPr>
          <w:rFonts w:hint="eastAsia" w:ascii="仿宋_GB2312" w:hAnsi="仿宋" w:eastAsia="仿宋_GB2312"/>
          <w:sz w:val="32"/>
          <w:szCs w:val="32"/>
        </w:rPr>
        <w:t>培养质量。</w:t>
      </w:r>
    </w:p>
    <w:p>
      <w:pPr>
        <w:pStyle w:val="23"/>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黑体" w:hAnsi="黑体" w:eastAsia="黑体" w:cs="黑体"/>
          <w:bCs/>
          <w:sz w:val="32"/>
          <w:szCs w:val="32"/>
        </w:rPr>
        <w:t xml:space="preserve">第十四条  </w:t>
      </w:r>
      <w:r>
        <w:rPr>
          <w:rFonts w:hint="eastAsia" w:ascii="仿宋_GB2312" w:hAnsi="仿宋" w:eastAsia="仿宋_GB2312"/>
          <w:sz w:val="32"/>
          <w:szCs w:val="32"/>
        </w:rPr>
        <w:t>鼓励基地之间整合优势资源，共建共享课程体系、培训教材、师资队伍与实训平台，打造高水平、一体化的技术转移人才培养共同体。</w:t>
      </w:r>
    </w:p>
    <w:p>
      <w:pPr>
        <w:pStyle w:val="23"/>
        <w:numPr>
          <w:ilvl w:val="0"/>
          <w:numId w:val="2"/>
        </w:numPr>
        <w:shd w:val="clear" w:color="auto" w:fill="FFFFFF"/>
        <w:adjustRightInd/>
        <w:spacing w:after="0" w:afterLines="0" w:line="58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 xml:space="preserve"> </w:t>
      </w:r>
      <w:r>
        <w:rPr>
          <w:rFonts w:hint="eastAsia" w:ascii="仿宋_GB2312" w:hAnsi="仿宋" w:eastAsia="仿宋_GB2312"/>
          <w:sz w:val="32"/>
          <w:szCs w:val="32"/>
        </w:rPr>
        <w:t>基地与高校院所、企业、技术转移服务机构以及新型研发机构之间，应加强交流合作，强化资源共享、人才共用，共同开展跨区域、多领域、多层次的技术转移人才培养、使用和后续跟踪服务。</w:t>
      </w:r>
    </w:p>
    <w:p>
      <w:pPr>
        <w:pStyle w:val="23"/>
        <w:numPr>
          <w:ilvl w:val="0"/>
          <w:numId w:val="2"/>
        </w:numPr>
        <w:shd w:val="clear" w:color="auto" w:fill="FFFFFF"/>
        <w:adjustRightInd/>
        <w:spacing w:after="0" w:afterLines="0"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基地应拓展全球视野，加强</w:t>
      </w:r>
      <w:r>
        <w:rPr>
          <w:rFonts w:ascii="仿宋_GB2312" w:hAnsi="仿宋" w:eastAsia="仿宋_GB2312"/>
          <w:sz w:val="32"/>
          <w:szCs w:val="32"/>
        </w:rPr>
        <w:t>国际技术转移人才</w:t>
      </w:r>
      <w:r>
        <w:rPr>
          <w:rFonts w:hint="eastAsia" w:ascii="仿宋_GB2312" w:hAnsi="仿宋" w:eastAsia="仿宋_GB2312"/>
          <w:sz w:val="32"/>
          <w:szCs w:val="32"/>
        </w:rPr>
        <w:t>培养，</w:t>
      </w:r>
      <w:r>
        <w:rPr>
          <w:rFonts w:ascii="仿宋_GB2312" w:hAnsi="仿宋" w:eastAsia="仿宋_GB2312"/>
          <w:sz w:val="32"/>
          <w:szCs w:val="32"/>
        </w:rPr>
        <w:t>在推进国际技术转移、提升国际科技合作水平、汇聚高层次创新人才方面发挥重要作用</w:t>
      </w:r>
      <w:r>
        <w:rPr>
          <w:rFonts w:hint="eastAsia" w:ascii="仿宋_GB2312" w:hAnsi="仿宋" w:eastAsia="仿宋_GB2312"/>
          <w:sz w:val="32"/>
          <w:szCs w:val="32"/>
        </w:rPr>
        <w:t>。</w:t>
      </w:r>
    </w:p>
    <w:p>
      <w:pPr>
        <w:pStyle w:val="23"/>
        <w:shd w:val="clear" w:color="auto" w:fill="FFFFFF"/>
        <w:adjustRightInd/>
        <w:spacing w:after="0" w:afterLines="0" w:line="580" w:lineRule="exact"/>
        <w:rPr>
          <w:rStyle w:val="29"/>
          <w:rFonts w:hint="eastAsia" w:ascii="黑体" w:hAnsi="黑体" w:eastAsia="黑体" w:cs="黑体"/>
          <w:b w:val="0"/>
          <w:color w:val="333333"/>
          <w:sz w:val="32"/>
          <w:szCs w:val="32"/>
        </w:rPr>
      </w:pPr>
    </w:p>
    <w:p>
      <w:pPr>
        <w:pStyle w:val="23"/>
        <w:widowControl/>
        <w:shd w:val="clear" w:color="auto" w:fill="FFFFFF"/>
        <w:spacing w:after="0" w:afterLines="0" w:line="580" w:lineRule="exact"/>
        <w:jc w:val="center"/>
        <w:rPr>
          <w:rFonts w:hint="eastAsia" w:ascii="黑体" w:hAnsi="黑体" w:eastAsia="黑体" w:cs="黑体"/>
          <w:bCs/>
          <w:color w:val="333333"/>
          <w:sz w:val="32"/>
          <w:szCs w:val="32"/>
        </w:rPr>
      </w:pPr>
      <w:r>
        <w:rPr>
          <w:rStyle w:val="29"/>
          <w:rFonts w:hint="eastAsia" w:ascii="黑体" w:hAnsi="黑体" w:eastAsia="黑体" w:cs="黑体"/>
          <w:b w:val="0"/>
          <w:bCs/>
          <w:color w:val="333333"/>
          <w:sz w:val="32"/>
          <w:szCs w:val="32"/>
          <w:u w:val="none"/>
          <w:shd w:val="clear" w:color="auto" w:fill="FFFFFF"/>
        </w:rPr>
        <w:t>第五章</w:t>
      </w:r>
      <w:r>
        <w:rPr>
          <w:rStyle w:val="29"/>
          <w:rFonts w:hint="eastAsia" w:ascii="黑体" w:hAnsi="黑体" w:eastAsia="黑体" w:cs="黑体"/>
          <w:b w:val="0"/>
          <w:bCs/>
          <w:color w:val="333333"/>
          <w:sz w:val="32"/>
          <w:szCs w:val="32"/>
          <w:u w:val="none"/>
          <w:shd w:val="clear" w:color="auto" w:fill="FFFFFF"/>
          <w:lang w:val="en-US" w:eastAsia="zh-CN"/>
        </w:rPr>
        <w:t xml:space="preserve">  </w:t>
      </w:r>
      <w:r>
        <w:rPr>
          <w:rStyle w:val="29"/>
          <w:rFonts w:hint="eastAsia" w:ascii="黑体" w:hAnsi="黑体" w:eastAsia="黑体" w:cs="黑体"/>
          <w:b w:val="0"/>
          <w:bCs/>
          <w:color w:val="333333"/>
          <w:sz w:val="32"/>
          <w:szCs w:val="32"/>
          <w:u w:val="none"/>
          <w:shd w:val="clear" w:color="auto" w:fill="FFFFFF"/>
        </w:rPr>
        <w:t>证书发放及备案</w:t>
      </w:r>
    </w:p>
    <w:p>
      <w:pPr>
        <w:pStyle w:val="23"/>
        <w:widowControl/>
        <w:shd w:val="clear" w:color="auto" w:fill="FFFFFF"/>
        <w:spacing w:after="0" w:afterLines="0" w:line="580" w:lineRule="exact"/>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bCs/>
          <w:sz w:val="32"/>
          <w:szCs w:val="32"/>
        </w:rPr>
        <w:t xml:space="preserve">第十七条  </w:t>
      </w:r>
      <w:r>
        <w:rPr>
          <w:rFonts w:hint="eastAsia" w:ascii="仿宋_GB2312" w:hAnsi="仿宋_GB2312" w:eastAsia="仿宋_GB2312" w:cs="仿宋_GB2312"/>
          <w:color w:val="333333"/>
          <w:sz w:val="32"/>
          <w:szCs w:val="32"/>
          <w:shd w:val="clear" w:color="auto" w:fill="FFFFFF"/>
        </w:rPr>
        <w:t>完成基地规定的培训课程、</w:t>
      </w:r>
      <w:r>
        <w:rPr>
          <w:rFonts w:hint="eastAsia" w:ascii="仿宋_GB2312" w:hAnsi="仿宋_GB2312" w:eastAsia="仿宋_GB2312" w:cs="仿宋_GB2312"/>
          <w:color w:val="333333"/>
          <w:sz w:val="32"/>
          <w:szCs w:val="32"/>
          <w:shd w:val="clear" w:color="auto" w:fill="FFFFFF"/>
          <w:lang w:val="en-US" w:eastAsia="zh-CN"/>
        </w:rPr>
        <w:t>实战项目</w:t>
      </w:r>
      <w:r>
        <w:rPr>
          <w:rFonts w:hint="eastAsia" w:ascii="仿宋_GB2312" w:hAnsi="仿宋_GB2312" w:eastAsia="仿宋_GB2312" w:cs="仿宋_GB2312"/>
          <w:color w:val="333333"/>
          <w:sz w:val="32"/>
          <w:szCs w:val="32"/>
          <w:shd w:val="clear" w:color="auto" w:fill="FFFFFF"/>
        </w:rPr>
        <w:t>及相关考核，成绩合格者，由基地颁发“山东省技术转移人员专业能力培养结业证书”。统一落款为“山东省技术转移人才培养基地”，由依托单位代章。</w:t>
      </w:r>
    </w:p>
    <w:p>
      <w:pPr>
        <w:pStyle w:val="23"/>
        <w:widowControl/>
        <w:numPr>
          <w:ilvl w:val="255"/>
          <w:numId w:val="0"/>
        </w:numPr>
        <w:shd w:val="clear" w:color="auto" w:fill="FFFFFF"/>
        <w:adjustRightInd/>
        <w:spacing w:after="0" w:afterLines="0" w:line="580" w:lineRule="exact"/>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bCs/>
          <w:sz w:val="32"/>
          <w:szCs w:val="32"/>
        </w:rPr>
        <w:t xml:space="preserve">第十八条  </w:t>
      </w:r>
      <w:r>
        <w:rPr>
          <w:rFonts w:hint="eastAsia" w:ascii="仿宋_GB2312" w:hAnsi="仿宋" w:eastAsia="仿宋_GB2312"/>
          <w:sz w:val="32"/>
          <w:szCs w:val="32"/>
        </w:rPr>
        <w:t>基地应</w:t>
      </w:r>
      <w:r>
        <w:rPr>
          <w:rFonts w:ascii="Times New Roman" w:hAnsi="Times New Roman" w:eastAsia="仿宋_GB2312" w:cs="Times New Roman"/>
          <w:sz w:val="32"/>
          <w:szCs w:val="32"/>
        </w:rPr>
        <w:t>在</w:t>
      </w:r>
      <w:r>
        <w:rPr>
          <w:rFonts w:hint="eastAsia" w:ascii="Times New Roman" w:hAnsi="Times New Roman" w:eastAsia="仿宋_GB2312" w:cs="Times New Roman"/>
          <w:sz w:val="32"/>
          <w:szCs w:val="32"/>
          <w:lang w:val="en-US" w:eastAsia="zh-CN"/>
        </w:rPr>
        <w:t>结业</w:t>
      </w:r>
      <w:r>
        <w:rPr>
          <w:rFonts w:ascii="Times New Roman" w:hAnsi="Times New Roman" w:eastAsia="仿宋_GB2312" w:cs="Times New Roman"/>
          <w:sz w:val="32"/>
          <w:szCs w:val="32"/>
        </w:rPr>
        <w:t>30日内</w:t>
      </w:r>
      <w:r>
        <w:rPr>
          <w:rFonts w:hint="eastAsia" w:ascii="Times New Roman" w:hAnsi="Times New Roman" w:eastAsia="仿宋_GB2312" w:cs="Times New Roman"/>
          <w:sz w:val="32"/>
          <w:szCs w:val="32"/>
        </w:rPr>
        <w:t>，将</w:t>
      </w:r>
      <w:r>
        <w:rPr>
          <w:rFonts w:hint="eastAsia" w:ascii="Times New Roman" w:hAnsi="Times New Roman" w:eastAsia="仿宋_GB2312" w:cs="Times New Roman"/>
          <w:sz w:val="32"/>
          <w:szCs w:val="32"/>
          <w:lang w:val="en-US" w:eastAsia="zh-CN"/>
        </w:rPr>
        <w:t>培训人员</w:t>
      </w:r>
      <w:r>
        <w:rPr>
          <w:rFonts w:hint="eastAsia" w:ascii="Times New Roman" w:hAnsi="Times New Roman" w:eastAsia="仿宋_GB2312" w:cs="Times New Roman"/>
          <w:sz w:val="32"/>
          <w:szCs w:val="32"/>
        </w:rPr>
        <w:t>信息经省直有关部门和市科技局审核后，</w:t>
      </w:r>
      <w:r>
        <w:rPr>
          <w:rFonts w:ascii="Times New Roman" w:hAnsi="Times New Roman" w:eastAsia="仿宋_GB2312" w:cs="Times New Roman"/>
          <w:sz w:val="32"/>
          <w:szCs w:val="32"/>
        </w:rPr>
        <w:t>报省科技厅备案。</w:t>
      </w:r>
    </w:p>
    <w:p>
      <w:pPr>
        <w:pStyle w:val="23"/>
        <w:shd w:val="clear" w:color="auto" w:fill="FFFFFF"/>
        <w:adjustRightInd/>
        <w:spacing w:after="0" w:afterLines="0" w:line="580" w:lineRule="exact"/>
        <w:jc w:val="center"/>
        <w:rPr>
          <w:rStyle w:val="29"/>
          <w:rFonts w:hint="eastAsia" w:ascii="黑体" w:hAnsi="黑体" w:eastAsia="黑体" w:cs="黑体"/>
          <w:b w:val="0"/>
          <w:color w:val="333333"/>
          <w:sz w:val="32"/>
          <w:szCs w:val="32"/>
        </w:rPr>
      </w:pPr>
    </w:p>
    <w:p>
      <w:pPr>
        <w:pStyle w:val="23"/>
        <w:shd w:val="clear" w:color="auto" w:fill="FFFFFF"/>
        <w:adjustRightInd/>
        <w:spacing w:after="0" w:afterLines="0" w:line="580" w:lineRule="exact"/>
        <w:jc w:val="center"/>
        <w:rPr>
          <w:rStyle w:val="29"/>
          <w:rFonts w:hint="eastAsia" w:ascii="仿宋_GB2312" w:hAnsi="仿宋" w:eastAsia="仿宋_GB2312" w:cs="宋体"/>
          <w:b w:val="0"/>
          <w:sz w:val="32"/>
          <w:szCs w:val="32"/>
          <w:u w:val="none"/>
        </w:rPr>
      </w:pPr>
      <w:r>
        <w:rPr>
          <w:rStyle w:val="29"/>
          <w:rFonts w:hint="eastAsia" w:ascii="黑体" w:hAnsi="黑体" w:eastAsia="黑体" w:cs="黑体"/>
          <w:b w:val="0"/>
          <w:color w:val="333333"/>
          <w:sz w:val="32"/>
          <w:szCs w:val="32"/>
          <w:u w:val="none"/>
        </w:rPr>
        <w:t>第六章  绩效管理</w:t>
      </w:r>
    </w:p>
    <w:p>
      <w:pPr>
        <w:pStyle w:val="23"/>
        <w:shd w:val="clear" w:color="auto" w:fill="FFFFFF"/>
        <w:adjustRightInd/>
        <w:spacing w:after="0" w:afterLines="0" w:line="580" w:lineRule="exact"/>
        <w:ind w:firstLine="645"/>
        <w:rPr>
          <w:rFonts w:ascii="仿宋_GB2312" w:hAnsi="仿宋_GB2312" w:eastAsia="仿宋_GB2312" w:cs="仿宋_GB2312"/>
          <w:bCs/>
          <w:sz w:val="32"/>
          <w:szCs w:val="32"/>
        </w:rPr>
      </w:pPr>
      <w:r>
        <w:rPr>
          <w:rFonts w:hint="eastAsia" w:ascii="黑体" w:hAnsi="黑体" w:eastAsia="黑体" w:cs="黑体"/>
          <w:bCs/>
          <w:sz w:val="32"/>
          <w:szCs w:val="32"/>
        </w:rPr>
        <w:t xml:space="preserve">第十九条  </w:t>
      </w:r>
      <w:r>
        <w:rPr>
          <w:rFonts w:hint="eastAsia" w:ascii="仿宋_GB2312" w:hAnsi="仿宋_GB2312" w:eastAsia="仿宋_GB2312" w:cs="仿宋_GB2312"/>
          <w:bCs/>
          <w:sz w:val="32"/>
          <w:szCs w:val="32"/>
        </w:rPr>
        <w:t>省科技厅对认定的基地每年开展一次绩效评价，评价内容主要包括教材课程与项目体系建设、</w:t>
      </w:r>
      <w:r>
        <w:rPr>
          <w:rFonts w:hint="eastAsia" w:ascii="仿宋_GB2312" w:hAnsi="仿宋_GB2312" w:eastAsia="仿宋_GB2312" w:cs="仿宋_GB2312"/>
          <w:bCs/>
          <w:sz w:val="32"/>
          <w:szCs w:val="32"/>
          <w:lang w:val="en-US" w:eastAsia="zh-CN"/>
        </w:rPr>
        <w:t>技术转移人才</w:t>
      </w:r>
      <w:r>
        <w:rPr>
          <w:rFonts w:hint="eastAsia" w:ascii="仿宋_GB2312" w:hAnsi="仿宋_GB2312" w:eastAsia="仿宋_GB2312" w:cs="仿宋_GB2312"/>
          <w:bCs/>
          <w:sz w:val="32"/>
          <w:szCs w:val="32"/>
        </w:rPr>
        <w:t>培养数量与质量、所培养</w:t>
      </w:r>
      <w:r>
        <w:rPr>
          <w:rFonts w:hint="eastAsia" w:ascii="仿宋_GB2312" w:hAnsi="仿宋_GB2312" w:eastAsia="仿宋_GB2312" w:cs="仿宋_GB2312"/>
          <w:bCs/>
          <w:sz w:val="32"/>
          <w:szCs w:val="32"/>
          <w:lang w:val="en-US" w:eastAsia="zh-CN"/>
        </w:rPr>
        <w:t>技术转移人才</w:t>
      </w:r>
      <w:r>
        <w:rPr>
          <w:rFonts w:hint="eastAsia" w:ascii="仿宋_GB2312" w:hAnsi="仿宋_GB2312" w:eastAsia="仿宋_GB2312" w:cs="仿宋_GB2312"/>
          <w:bCs/>
          <w:sz w:val="32"/>
          <w:szCs w:val="32"/>
        </w:rPr>
        <w:t>赋能产业发展成效、对接服务山东科技大市场情况等。</w:t>
      </w:r>
    </w:p>
    <w:p>
      <w:pPr>
        <w:pStyle w:val="23"/>
        <w:shd w:val="clear" w:color="auto" w:fill="FFFFFF"/>
        <w:adjustRightInd/>
        <w:spacing w:after="0" w:afterLines="0" w:line="580" w:lineRule="exact"/>
        <w:ind w:firstLine="645"/>
        <w:rPr>
          <w:rFonts w:ascii="仿宋_GB2312" w:hAnsi="仿宋_GB2312" w:eastAsia="仿宋_GB2312" w:cs="仿宋_GB2312"/>
          <w:bCs/>
          <w:sz w:val="32"/>
          <w:szCs w:val="32"/>
        </w:rPr>
      </w:pPr>
      <w:r>
        <w:rPr>
          <w:rFonts w:hint="eastAsia" w:ascii="黑体" w:hAnsi="黑体" w:eastAsia="黑体" w:cs="黑体"/>
          <w:bCs/>
          <w:sz w:val="32"/>
          <w:szCs w:val="32"/>
        </w:rPr>
        <w:t>第二十条</w:t>
      </w:r>
      <w:r>
        <w:rPr>
          <w:rFonts w:hint="eastAsia" w:ascii="仿宋_GB2312" w:hAnsi="仿宋_GB2312" w:eastAsia="仿宋_GB2312" w:cs="仿宋_GB2312"/>
          <w:bCs/>
          <w:sz w:val="32"/>
          <w:szCs w:val="32"/>
        </w:rPr>
        <w:t xml:space="preserve"> 绩效评价结果分为优秀、良好、合格、不合格四个等级。评价不合格的，取消基地的认定资格。</w:t>
      </w:r>
    </w:p>
    <w:p>
      <w:pPr>
        <w:pStyle w:val="23"/>
        <w:shd w:val="clear" w:color="auto" w:fill="FFFFFF"/>
        <w:adjustRightInd/>
        <w:spacing w:after="0" w:afterLines="0" w:line="580" w:lineRule="exact"/>
        <w:ind w:firstLine="645"/>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第二十一条  </w:t>
      </w:r>
      <w:r>
        <w:rPr>
          <w:rFonts w:hint="eastAsia" w:ascii="仿宋_GB2312" w:hAnsi="仿宋" w:eastAsia="仿宋_GB2312"/>
          <w:sz w:val="32"/>
          <w:szCs w:val="32"/>
        </w:rPr>
        <w:t>基地申报、绩效评价过程中有下列情形的，按相关规定列入科研失信行为；已经认定的，撤销其基地认定资格：</w:t>
      </w:r>
    </w:p>
    <w:p>
      <w:pPr>
        <w:pStyle w:val="23"/>
        <w:shd w:val="clear" w:color="auto" w:fill="FFFFFF"/>
        <w:adjustRightInd/>
        <w:spacing w:after="0" w:afterLines="0" w:line="580" w:lineRule="exact"/>
        <w:ind w:firstLine="645"/>
        <w:rPr>
          <w:rFonts w:hint="eastAsia" w:ascii="仿宋_GB2312" w:hAnsi="仿宋" w:eastAsia="仿宋_GB2312"/>
          <w:sz w:val="32"/>
          <w:szCs w:val="32"/>
        </w:rPr>
      </w:pPr>
      <w:r>
        <w:rPr>
          <w:rFonts w:hint="eastAsia" w:ascii="仿宋_GB2312" w:hAnsi="仿宋" w:eastAsia="仿宋_GB2312"/>
          <w:sz w:val="32"/>
          <w:szCs w:val="32"/>
        </w:rPr>
        <w:t>（一）</w:t>
      </w:r>
      <w:r>
        <w:rPr>
          <w:rFonts w:ascii="Times New Roman" w:hAnsi="Times New Roman" w:eastAsia="仿宋_GB2312" w:cs="Times New Roman"/>
          <w:sz w:val="32"/>
          <w:szCs w:val="32"/>
        </w:rPr>
        <w:t>有提供虚假材料、数据等行为的；</w:t>
      </w:r>
    </w:p>
    <w:p>
      <w:pPr>
        <w:pStyle w:val="23"/>
        <w:shd w:val="clear" w:color="auto" w:fill="FFFFFF"/>
        <w:adjustRightInd/>
        <w:spacing w:after="0" w:afterLines="0" w:line="580" w:lineRule="exact"/>
        <w:ind w:firstLine="645"/>
        <w:rPr>
          <w:rFonts w:hint="eastAsia" w:ascii="仿宋_GB2312" w:hAnsi="仿宋" w:eastAsia="仿宋_GB2312"/>
          <w:sz w:val="32"/>
          <w:szCs w:val="32"/>
        </w:rPr>
      </w:pPr>
      <w:r>
        <w:rPr>
          <w:rFonts w:hint="eastAsia" w:ascii="仿宋_GB2312" w:hAnsi="仿宋" w:eastAsia="仿宋_GB2312"/>
          <w:sz w:val="32"/>
          <w:szCs w:val="32"/>
        </w:rPr>
        <w:t>（二）擅自颁发不规范信息证书的；</w:t>
      </w:r>
    </w:p>
    <w:p>
      <w:pPr>
        <w:pStyle w:val="23"/>
        <w:shd w:val="clear" w:color="auto" w:fill="FFFFFF"/>
        <w:adjustRightInd/>
        <w:spacing w:after="0" w:afterLines="0" w:line="580" w:lineRule="exact"/>
        <w:ind w:firstLine="645"/>
        <w:rPr>
          <w:rFonts w:hint="eastAsia" w:ascii="仿宋_GB2312" w:hAnsi="仿宋" w:eastAsia="仿宋_GB2312"/>
          <w:sz w:val="32"/>
          <w:szCs w:val="32"/>
        </w:rPr>
      </w:pPr>
      <w:r>
        <w:rPr>
          <w:rFonts w:hint="eastAsia" w:ascii="仿宋_GB2312" w:hAnsi="仿宋" w:eastAsia="仿宋_GB2312"/>
          <w:sz w:val="32"/>
          <w:szCs w:val="32"/>
        </w:rPr>
        <w:t>（三）存在违规收费，造成不良后果的；</w:t>
      </w:r>
    </w:p>
    <w:p>
      <w:pPr>
        <w:pStyle w:val="23"/>
        <w:shd w:val="clear" w:color="auto" w:fill="FFFFFF"/>
        <w:adjustRightInd/>
        <w:spacing w:after="0" w:afterLines="0" w:line="580" w:lineRule="exact"/>
        <w:ind w:firstLine="645"/>
        <w:rPr>
          <w:rFonts w:hint="eastAsia" w:ascii="仿宋_GB2312" w:hAnsi="仿宋" w:eastAsia="仿宋_GB2312"/>
          <w:sz w:val="32"/>
          <w:szCs w:val="32"/>
        </w:rPr>
      </w:pPr>
      <w:r>
        <w:rPr>
          <w:rFonts w:hint="eastAsia" w:ascii="仿宋_GB2312" w:hAnsi="仿宋" w:eastAsia="仿宋_GB2312"/>
          <w:sz w:val="32"/>
          <w:szCs w:val="32"/>
        </w:rPr>
        <w:t>（四）无正当理由未按期参加绩效评价的；</w:t>
      </w:r>
    </w:p>
    <w:p>
      <w:pPr>
        <w:pStyle w:val="23"/>
        <w:shd w:val="clear" w:color="auto" w:fill="FFFFFF"/>
        <w:adjustRightInd/>
        <w:spacing w:after="0" w:afterLines="0" w:line="580" w:lineRule="exact"/>
        <w:ind w:firstLine="645"/>
        <w:rPr>
          <w:rFonts w:hint="eastAsia" w:ascii="仿宋_GB2312" w:hAnsi="仿宋" w:eastAsia="仿宋_GB2312"/>
          <w:sz w:val="32"/>
          <w:szCs w:val="32"/>
        </w:rPr>
      </w:pPr>
      <w:r>
        <w:rPr>
          <w:rFonts w:hint="eastAsia" w:ascii="仿宋_GB2312" w:hAnsi="仿宋" w:eastAsia="仿宋_GB2312"/>
          <w:sz w:val="32"/>
          <w:szCs w:val="32"/>
        </w:rPr>
        <w:t>（五）管理不善，发生严重安全事故的；</w:t>
      </w:r>
    </w:p>
    <w:p>
      <w:pPr>
        <w:pStyle w:val="23"/>
        <w:shd w:val="clear" w:color="auto" w:fill="FFFFFF"/>
        <w:adjustRightInd/>
        <w:spacing w:after="0" w:afterLines="0" w:line="580" w:lineRule="exact"/>
        <w:ind w:firstLine="645"/>
        <w:rPr>
          <w:rFonts w:hint="eastAsia" w:ascii="仿宋_GB2312" w:hAnsi="仿宋" w:eastAsia="仿宋_GB2312"/>
          <w:sz w:val="32"/>
          <w:szCs w:val="32"/>
        </w:rPr>
      </w:pPr>
      <w:r>
        <w:rPr>
          <w:rFonts w:hint="eastAsia" w:ascii="仿宋_GB2312" w:hAnsi="仿宋" w:eastAsia="仿宋_GB2312"/>
          <w:sz w:val="32"/>
          <w:szCs w:val="32"/>
        </w:rPr>
        <w:t>（六）其他科研失信行为。</w:t>
      </w:r>
    </w:p>
    <w:p>
      <w:pPr>
        <w:pStyle w:val="23"/>
        <w:shd w:val="clear" w:color="auto" w:fill="FFFFFF"/>
        <w:adjustRightInd/>
        <w:spacing w:after="0" w:afterLines="0" w:line="580" w:lineRule="exact"/>
        <w:rPr>
          <w:rStyle w:val="29"/>
          <w:rFonts w:hint="eastAsia" w:ascii="仿宋_GB2312" w:hAnsi="仿宋" w:eastAsia="仿宋_GB2312" w:cs="宋体"/>
          <w:b w:val="0"/>
          <w:sz w:val="32"/>
          <w:szCs w:val="32"/>
        </w:rPr>
      </w:pPr>
    </w:p>
    <w:p>
      <w:pPr>
        <w:pStyle w:val="23"/>
        <w:shd w:val="clear" w:color="auto" w:fill="FFFFFF"/>
        <w:adjustRightInd/>
        <w:spacing w:after="0" w:afterLines="0" w:line="580" w:lineRule="exact"/>
        <w:jc w:val="center"/>
        <w:rPr>
          <w:rFonts w:hint="eastAsia" w:ascii="仿宋_GB2312" w:eastAsia="仿宋_GB2312"/>
          <w:color w:val="333333"/>
          <w:sz w:val="32"/>
          <w:szCs w:val="32"/>
        </w:rPr>
      </w:pPr>
      <w:r>
        <w:rPr>
          <w:rStyle w:val="29"/>
          <w:rFonts w:hint="eastAsia" w:ascii="黑体" w:hAnsi="黑体" w:eastAsia="黑体" w:cs="黑体"/>
          <w:b w:val="0"/>
          <w:color w:val="333333"/>
          <w:sz w:val="32"/>
          <w:szCs w:val="32"/>
          <w:u w:val="none"/>
        </w:rPr>
        <w:t>第七章 附 则</w:t>
      </w:r>
    </w:p>
    <w:p>
      <w:pPr>
        <w:pStyle w:val="23"/>
        <w:shd w:val="clear" w:color="auto" w:fill="FFFFFF"/>
        <w:adjustRightInd/>
        <w:spacing w:after="0" w:afterLines="0" w:line="580" w:lineRule="exact"/>
        <w:ind w:firstLine="640" w:firstLineChars="200"/>
        <w:rPr>
          <w:rFonts w:hint="eastAsia" w:ascii="仿宋_GB2312" w:eastAsia="仿宋_GB2312"/>
          <w:color w:val="333333"/>
          <w:sz w:val="32"/>
          <w:szCs w:val="32"/>
        </w:rPr>
      </w:pPr>
      <w:r>
        <w:rPr>
          <w:rFonts w:hint="eastAsia" w:ascii="黑体" w:hAnsi="黑体" w:eastAsia="黑体" w:cs="黑体"/>
          <w:bCs/>
          <w:sz w:val="32"/>
          <w:szCs w:val="32"/>
        </w:rPr>
        <w:t xml:space="preserve">第二十二条  </w:t>
      </w:r>
      <w:r>
        <w:rPr>
          <w:rFonts w:hint="eastAsia" w:ascii="仿宋_GB2312" w:hAnsi="仿宋" w:eastAsia="仿宋_GB2312"/>
          <w:sz w:val="32"/>
          <w:szCs w:val="32"/>
        </w:rPr>
        <w:t>本办法由省科技厅负责解释。</w:t>
      </w:r>
    </w:p>
    <w:p>
      <w:pPr>
        <w:pStyle w:val="23"/>
        <w:shd w:val="clear" w:color="auto" w:fill="FFFFFF"/>
        <w:adjustRightInd/>
        <w:spacing w:after="0" w:afterLines="0" w:line="580" w:lineRule="exact"/>
        <w:ind w:firstLine="640" w:firstLineChars="200"/>
        <w:rPr>
          <w:rFonts w:hint="eastAsia" w:ascii="仿宋_GB2312" w:eastAsia="仿宋_GB2312"/>
          <w:color w:val="333333"/>
          <w:sz w:val="32"/>
          <w:szCs w:val="32"/>
        </w:rPr>
      </w:pPr>
      <w:r>
        <w:rPr>
          <w:rFonts w:hint="eastAsia" w:ascii="黑体" w:hAnsi="黑体" w:eastAsia="黑体" w:cs="黑体"/>
          <w:bCs/>
          <w:sz w:val="32"/>
          <w:szCs w:val="32"/>
        </w:rPr>
        <w:t xml:space="preserve">第二十三条  </w:t>
      </w:r>
      <w:r>
        <w:rPr>
          <w:rFonts w:hint="eastAsia" w:ascii="仿宋_GB2312" w:hAnsi="仿宋" w:eastAsia="仿宋_GB2312"/>
          <w:sz w:val="32"/>
          <w:szCs w:val="32"/>
        </w:rPr>
        <w:t>本办法自  年  月   日起施行，有效期至  年  月  日，</w:t>
      </w:r>
      <w:r>
        <w:rPr>
          <w:rFonts w:ascii="Times New Roman" w:hAnsi="Times New Roman" w:eastAsia="仿宋_GB2312" w:cs="Times New Roman"/>
          <w:sz w:val="32"/>
          <w:szCs w:val="32"/>
        </w:rPr>
        <w:t>原《山东省技术转移人才培养基地管理办法》</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鲁科字〔2022〕150号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同时废止。</w:t>
      </w:r>
    </w:p>
    <w:sectPr>
      <w:footerReference r:id="rId5" w:type="default"/>
      <w:pgSz w:w="11906" w:h="16838"/>
      <w:pgMar w:top="2098" w:right="1474" w:bottom="1984" w:left="1587" w:header="851" w:footer="992" w:gutter="0"/>
      <w:pgNumType w:fmt="numberInDash"/>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BE4A29-C0F6-4872-AEFC-DFF5499805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7F90815E-40B9-4C9F-8DB0-965E3F859618}"/>
  </w:font>
  <w:font w:name="方正小标宋简体">
    <w:panose1 w:val="02000000000000000000"/>
    <w:charset w:val="86"/>
    <w:family w:val="auto"/>
    <w:pitch w:val="default"/>
    <w:sig w:usb0="00000001" w:usb1="08000000" w:usb2="00000000" w:usb3="00000000" w:csb0="00040000" w:csb1="00000000"/>
    <w:embedRegular r:id="rId3" w:fontKey="{0428FA94-627B-4CAC-9B44-47138772D575}"/>
  </w:font>
  <w:font w:name="楷体_GB2312">
    <w:panose1 w:val="02010609030101010101"/>
    <w:charset w:val="86"/>
    <w:family w:val="modern"/>
    <w:pitch w:val="default"/>
    <w:sig w:usb0="00000001" w:usb1="080E0000" w:usb2="00000000" w:usb3="00000000" w:csb0="00040000" w:csb1="00000000"/>
    <w:embedRegular r:id="rId4" w:fontKey="{D0C1761C-94C0-45D4-8576-41E0CEBF0B6A}"/>
  </w:font>
  <w:font w:name="仿宋_GB2312">
    <w:panose1 w:val="02010609030101010101"/>
    <w:charset w:val="86"/>
    <w:family w:val="modern"/>
    <w:pitch w:val="default"/>
    <w:sig w:usb0="00000001" w:usb1="080E0000" w:usb2="00000000" w:usb3="00000000" w:csb0="00040000" w:csb1="00000000"/>
    <w:embedRegular r:id="rId5" w:fontKey="{42012E2B-7B7A-4A3D-BC2B-55DA1994A541}"/>
  </w:font>
  <w:font w:name="仿宋">
    <w:panose1 w:val="02010609060101010101"/>
    <w:charset w:val="86"/>
    <w:family w:val="modern"/>
    <w:pitch w:val="default"/>
    <w:sig w:usb0="800002BF" w:usb1="38CF7CFA" w:usb2="00000016" w:usb3="00000000" w:csb0="00040001" w:csb1="00000000"/>
    <w:embedRegular r:id="rId6" w:fontKey="{A9686AD9-8541-4A10-9217-A327C961B92D}"/>
  </w:font>
  <w:font w:name="国标宋体-GB/T 2312">
    <w:altName w:val="宋体"/>
    <w:panose1 w:val="02000500000000000000"/>
    <w:charset w:val="86"/>
    <w:family w:val="auto"/>
    <w:pitch w:val="default"/>
    <w:sig w:usb0="00000000" w:usb1="00000000" w:usb2="00000000" w:usb3="00000000" w:csb0="00040000" w:csb1="00000000"/>
    <w:embedRegular r:id="rId7" w:fontKey="{FDA88BA6-8863-4AFF-B63D-E8DAE63505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after="48"/>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spacing w:after="48"/>
                            <w:rPr>
                              <w:rFonts w:hint="eastAsia"/>
                            </w:rPr>
                          </w:pPr>
                          <w:r>
                            <w:rPr>
                              <w:rFonts w:hint="eastAsia" w:ascii="国标宋体-GB/T 2312" w:hAnsi="国标宋体-GB/T 2312" w:eastAsia="国标宋体-GB/T 2312" w:cs="国标宋体-GB/T 2312"/>
                              <w:sz w:val="28"/>
                              <w:szCs w:val="28"/>
                            </w:rPr>
                            <w:fldChar w:fldCharType="begin"/>
                          </w:r>
                          <w:r>
                            <w:rPr>
                              <w:rFonts w:hint="eastAsia" w:ascii="国标宋体-GB/T 2312" w:hAnsi="国标宋体-GB/T 2312" w:eastAsia="国标宋体-GB/T 2312" w:cs="国标宋体-GB/T 2312"/>
                              <w:sz w:val="28"/>
                              <w:szCs w:val="28"/>
                            </w:rPr>
                            <w:instrText xml:space="preserve"> PAGE  \* MERGEFORMAT </w:instrText>
                          </w:r>
                          <w:r>
                            <w:rPr>
                              <w:rFonts w:hint="eastAsia" w:ascii="国标宋体-GB/T 2312" w:hAnsi="国标宋体-GB/T 2312" w:eastAsia="国标宋体-GB/T 2312" w:cs="国标宋体-GB/T 2312"/>
                              <w:sz w:val="28"/>
                              <w:szCs w:val="28"/>
                            </w:rPr>
                            <w:fldChar w:fldCharType="separate"/>
                          </w:r>
                          <w:r>
                            <w:rPr>
                              <w:rFonts w:hint="eastAsia" w:ascii="国标宋体-GB/T 2312" w:hAnsi="国标宋体-GB/T 2312" w:eastAsia="国标宋体-GB/T 2312" w:cs="国标宋体-GB/T 2312"/>
                              <w:sz w:val="28"/>
                              <w:szCs w:val="28"/>
                            </w:rPr>
                            <w:t>1</w:t>
                          </w:r>
                          <w:r>
                            <w:rPr>
                              <w:rFonts w:hint="eastAsia" w:ascii="国标宋体-GB/T 2312" w:hAnsi="国标宋体-GB/T 2312" w:eastAsia="国标宋体-GB/T 2312" w:cs="国标宋体-GB/T 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8"/>
                      <w:spacing w:after="48"/>
                      <w:rPr>
                        <w:rFonts w:hint="eastAsia"/>
                      </w:rPr>
                    </w:pPr>
                    <w:r>
                      <w:rPr>
                        <w:rFonts w:hint="eastAsia" w:ascii="国标宋体-GB/T 2312" w:hAnsi="国标宋体-GB/T 2312" w:eastAsia="国标宋体-GB/T 2312" w:cs="国标宋体-GB/T 2312"/>
                        <w:sz w:val="28"/>
                        <w:szCs w:val="28"/>
                      </w:rPr>
                      <w:fldChar w:fldCharType="begin"/>
                    </w:r>
                    <w:r>
                      <w:rPr>
                        <w:rFonts w:hint="eastAsia" w:ascii="国标宋体-GB/T 2312" w:hAnsi="国标宋体-GB/T 2312" w:eastAsia="国标宋体-GB/T 2312" w:cs="国标宋体-GB/T 2312"/>
                        <w:sz w:val="28"/>
                        <w:szCs w:val="28"/>
                      </w:rPr>
                      <w:instrText xml:space="preserve"> PAGE  \* MERGEFORMAT </w:instrText>
                    </w:r>
                    <w:r>
                      <w:rPr>
                        <w:rFonts w:hint="eastAsia" w:ascii="国标宋体-GB/T 2312" w:hAnsi="国标宋体-GB/T 2312" w:eastAsia="国标宋体-GB/T 2312" w:cs="国标宋体-GB/T 2312"/>
                        <w:sz w:val="28"/>
                        <w:szCs w:val="28"/>
                      </w:rPr>
                      <w:fldChar w:fldCharType="separate"/>
                    </w:r>
                    <w:r>
                      <w:rPr>
                        <w:rFonts w:hint="eastAsia" w:ascii="国标宋体-GB/T 2312" w:hAnsi="国标宋体-GB/T 2312" w:eastAsia="国标宋体-GB/T 2312" w:cs="国标宋体-GB/T 2312"/>
                        <w:sz w:val="28"/>
                        <w:szCs w:val="28"/>
                      </w:rPr>
                      <w:t>1</w:t>
                    </w:r>
                    <w:r>
                      <w:rPr>
                        <w:rFonts w:hint="eastAsia" w:ascii="国标宋体-GB/T 2312" w:hAnsi="国标宋体-GB/T 2312" w:eastAsia="国标宋体-GB/T 2312" w:cs="国标宋体-GB/T 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270DCF"/>
    <w:multiLevelType w:val="multilevel"/>
    <w:tmpl w:val="3E270DCF"/>
    <w:lvl w:ilvl="0" w:tentative="0">
      <w:start w:val="1"/>
      <w:numFmt w:val="decimal"/>
      <w:pStyle w:val="2"/>
      <w:suff w:val="space"/>
      <w:lvlText w:val="%1."/>
      <w:lvlJc w:val="left"/>
      <w:pPr>
        <w:ind w:left="0" w:firstLine="0"/>
      </w:pPr>
      <w:rPr>
        <w:rFonts w:hint="default" w:ascii="微软雅黑" w:hAnsi="微软雅黑" w:eastAsia="微软雅黑"/>
      </w:rPr>
    </w:lvl>
    <w:lvl w:ilvl="1" w:tentative="0">
      <w:start w:val="1"/>
      <w:numFmt w:val="decimal"/>
      <w:pStyle w:val="3"/>
      <w:suff w:val="space"/>
      <w:lvlText w:val="%1.%2."/>
      <w:lvlJc w:val="left"/>
      <w:pPr>
        <w:ind w:left="0" w:firstLine="0"/>
      </w:pPr>
      <w:rPr>
        <w:rFonts w:hint="default" w:ascii="微软雅黑" w:hAnsi="微软雅黑" w:eastAsia="微软雅黑"/>
      </w:rPr>
    </w:lvl>
    <w:lvl w:ilvl="2" w:tentative="0">
      <w:start w:val="1"/>
      <w:numFmt w:val="decimal"/>
      <w:pStyle w:val="4"/>
      <w:suff w:val="space"/>
      <w:lvlText w:val="%1.%2.%3."/>
      <w:lvlJc w:val="left"/>
      <w:pPr>
        <w:ind w:left="0" w:firstLine="0"/>
      </w:pPr>
      <w:rPr>
        <w:rFonts w:hint="default" w:ascii="微软雅黑" w:hAnsi="微软雅黑" w:eastAsia="微软雅黑"/>
      </w:rPr>
    </w:lvl>
    <w:lvl w:ilvl="3" w:tentative="0">
      <w:start w:val="1"/>
      <w:numFmt w:val="decimal"/>
      <w:pStyle w:val="5"/>
      <w:suff w:val="space"/>
      <w:lvlText w:val="%1.%2.%3.%4."/>
      <w:lvlJc w:val="left"/>
      <w:pPr>
        <w:ind w:left="0" w:firstLine="0"/>
      </w:pPr>
      <w:rPr>
        <w:rFonts w:hint="default" w:ascii="微软雅黑" w:hAnsi="微软雅黑" w:eastAsia="微软雅黑"/>
      </w:rPr>
    </w:lvl>
    <w:lvl w:ilvl="4" w:tentative="0">
      <w:start w:val="1"/>
      <w:numFmt w:val="decimal"/>
      <w:pStyle w:val="6"/>
      <w:lvlText w:val="%1.%2.%3.%4.%5."/>
      <w:lvlJc w:val="left"/>
      <w:pPr>
        <w:tabs>
          <w:tab w:val="left" w:pos="0"/>
        </w:tabs>
        <w:ind w:left="0" w:firstLine="0"/>
      </w:pPr>
      <w:rPr>
        <w:rFonts w:hint="default" w:ascii="微软雅黑" w:hAnsi="微软雅黑" w:eastAsia="微软雅黑"/>
      </w:rPr>
    </w:lvl>
    <w:lvl w:ilvl="5" w:tentative="0">
      <w:start w:val="1"/>
      <w:numFmt w:val="decimal"/>
      <w:pStyle w:val="8"/>
      <w:suff w:val="space"/>
      <w:lvlText w:val="%1.%2.%3.%4.%5.%6."/>
      <w:lvlJc w:val="left"/>
      <w:pPr>
        <w:ind w:left="0" w:firstLine="0"/>
      </w:pPr>
      <w:rPr>
        <w:rFonts w:hint="default"/>
      </w:rPr>
    </w:lvl>
    <w:lvl w:ilvl="6" w:tentative="0">
      <w:start w:val="1"/>
      <w:numFmt w:val="decimal"/>
      <w:pStyle w:val="9"/>
      <w:lvlText w:val="%1.%2.%3.%4.%5.%6.%7."/>
      <w:lvlJc w:val="left"/>
      <w:pPr>
        <w:tabs>
          <w:tab w:val="left" w:pos="0"/>
        </w:tabs>
        <w:ind w:left="0" w:firstLine="0"/>
      </w:pPr>
      <w:rPr>
        <w:rFonts w:hint="default"/>
      </w:rPr>
    </w:lvl>
    <w:lvl w:ilvl="7" w:tentative="0">
      <w:start w:val="1"/>
      <w:numFmt w:val="decimal"/>
      <w:pStyle w:val="10"/>
      <w:suff w:val="space"/>
      <w:lvlText w:val="%1.%2.%3.%4.%5.%6.%7.%8."/>
      <w:lvlJc w:val="left"/>
      <w:pPr>
        <w:ind w:left="0" w:firstLine="0"/>
      </w:pPr>
      <w:rPr>
        <w:rFonts w:hint="default"/>
      </w:rPr>
    </w:lvl>
    <w:lvl w:ilvl="8" w:tentative="0">
      <w:start w:val="1"/>
      <w:numFmt w:val="decimal"/>
      <w:pStyle w:val="11"/>
      <w:lvlText w:val="%1.%2.%3.%4.%5.%6.%7.%8.%9."/>
      <w:lvlJc w:val="left"/>
      <w:pPr>
        <w:tabs>
          <w:tab w:val="left" w:pos="0"/>
        </w:tabs>
        <w:ind w:left="0" w:firstLine="0"/>
      </w:pPr>
      <w:rPr>
        <w:rFonts w:hint="default"/>
      </w:rPr>
    </w:lvl>
  </w:abstractNum>
  <w:abstractNum w:abstractNumId="1">
    <w:nsid w:val="724E81C3"/>
    <w:multiLevelType w:val="singleLevel"/>
    <w:tmpl w:val="724E81C3"/>
    <w:lvl w:ilvl="0" w:tentative="0">
      <w:start w:val="15"/>
      <w:numFmt w:val="chineseCounting"/>
      <w:suff w:val="space"/>
      <w:lvlText w:val="第%1条"/>
      <w:lvlJc w:val="left"/>
      <w:rPr>
        <w:rFonts w:hint="eastAsia" w:ascii="黑体" w:hAnsi="黑体" w:eastAsia="黑体" w:cs="黑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MzljODBiNDliMzEyMzFlZWNlN2EzYjU0N2YzMWEifQ=="/>
  </w:docVars>
  <w:rsids>
    <w:rsidRoot w:val="22122A30"/>
    <w:rsid w:val="001166BF"/>
    <w:rsid w:val="002A03F1"/>
    <w:rsid w:val="00511334"/>
    <w:rsid w:val="00772774"/>
    <w:rsid w:val="008C1BA2"/>
    <w:rsid w:val="00A43989"/>
    <w:rsid w:val="00BE0E4C"/>
    <w:rsid w:val="00C12DE3"/>
    <w:rsid w:val="00CF73BC"/>
    <w:rsid w:val="00DD5E1E"/>
    <w:rsid w:val="00E54379"/>
    <w:rsid w:val="00F256B2"/>
    <w:rsid w:val="00F27F0C"/>
    <w:rsid w:val="01635C49"/>
    <w:rsid w:val="025B2DC4"/>
    <w:rsid w:val="038A1BB2"/>
    <w:rsid w:val="049D5915"/>
    <w:rsid w:val="05DD1F63"/>
    <w:rsid w:val="07EC38F3"/>
    <w:rsid w:val="0820258B"/>
    <w:rsid w:val="08630AB1"/>
    <w:rsid w:val="08FF7E1C"/>
    <w:rsid w:val="098826F0"/>
    <w:rsid w:val="0B322F01"/>
    <w:rsid w:val="0E77246F"/>
    <w:rsid w:val="0FDA1211"/>
    <w:rsid w:val="10165512"/>
    <w:rsid w:val="104355C3"/>
    <w:rsid w:val="132D60B6"/>
    <w:rsid w:val="1333549D"/>
    <w:rsid w:val="15B036FB"/>
    <w:rsid w:val="16F72C63"/>
    <w:rsid w:val="18365FD0"/>
    <w:rsid w:val="192A76EB"/>
    <w:rsid w:val="19DD0836"/>
    <w:rsid w:val="1B3A3A66"/>
    <w:rsid w:val="1C6D20FE"/>
    <w:rsid w:val="1D9C27B6"/>
    <w:rsid w:val="1E4569AA"/>
    <w:rsid w:val="214073D3"/>
    <w:rsid w:val="215238B8"/>
    <w:rsid w:val="21A954A2"/>
    <w:rsid w:val="21C17EF6"/>
    <w:rsid w:val="21F16E8E"/>
    <w:rsid w:val="21F72D73"/>
    <w:rsid w:val="22122A30"/>
    <w:rsid w:val="221943D6"/>
    <w:rsid w:val="223B0A6E"/>
    <w:rsid w:val="230B53CA"/>
    <w:rsid w:val="23F73FAA"/>
    <w:rsid w:val="241D57C3"/>
    <w:rsid w:val="242239E6"/>
    <w:rsid w:val="24587119"/>
    <w:rsid w:val="25FA62CC"/>
    <w:rsid w:val="263E440B"/>
    <w:rsid w:val="27EF3330"/>
    <w:rsid w:val="29657F00"/>
    <w:rsid w:val="29AF73CD"/>
    <w:rsid w:val="2B246316"/>
    <w:rsid w:val="2B573C92"/>
    <w:rsid w:val="2CAD4098"/>
    <w:rsid w:val="2D510EC7"/>
    <w:rsid w:val="302B7DBA"/>
    <w:rsid w:val="30852462"/>
    <w:rsid w:val="316D5A4E"/>
    <w:rsid w:val="317E24A7"/>
    <w:rsid w:val="31E51D4A"/>
    <w:rsid w:val="31FF3434"/>
    <w:rsid w:val="33010C9A"/>
    <w:rsid w:val="330B7D6A"/>
    <w:rsid w:val="33A52141"/>
    <w:rsid w:val="33AB6E58"/>
    <w:rsid w:val="33C61EE3"/>
    <w:rsid w:val="33D95773"/>
    <w:rsid w:val="35E6061B"/>
    <w:rsid w:val="364315C9"/>
    <w:rsid w:val="369648D9"/>
    <w:rsid w:val="37FB5F35"/>
    <w:rsid w:val="38372745"/>
    <w:rsid w:val="3A12378C"/>
    <w:rsid w:val="3ABF4E09"/>
    <w:rsid w:val="3B2F331B"/>
    <w:rsid w:val="3B5B1163"/>
    <w:rsid w:val="3BA174BE"/>
    <w:rsid w:val="3C8D359E"/>
    <w:rsid w:val="3D1D48D7"/>
    <w:rsid w:val="3D3A1978"/>
    <w:rsid w:val="3E737CF8"/>
    <w:rsid w:val="3F221A4C"/>
    <w:rsid w:val="3F731171"/>
    <w:rsid w:val="40A86BF9"/>
    <w:rsid w:val="42601CEF"/>
    <w:rsid w:val="430B5AB0"/>
    <w:rsid w:val="436A63E7"/>
    <w:rsid w:val="44E82B3F"/>
    <w:rsid w:val="44F435FD"/>
    <w:rsid w:val="4527694A"/>
    <w:rsid w:val="454B2248"/>
    <w:rsid w:val="457F1EF2"/>
    <w:rsid w:val="46252A99"/>
    <w:rsid w:val="4832149E"/>
    <w:rsid w:val="48FA7F79"/>
    <w:rsid w:val="4A001853"/>
    <w:rsid w:val="4AC72371"/>
    <w:rsid w:val="4AD6EE42"/>
    <w:rsid w:val="4B065AA4"/>
    <w:rsid w:val="4B1A06F3"/>
    <w:rsid w:val="4CA961D2"/>
    <w:rsid w:val="4EC15C1A"/>
    <w:rsid w:val="4F035942"/>
    <w:rsid w:val="4FAC106B"/>
    <w:rsid w:val="50C23D07"/>
    <w:rsid w:val="51B07C98"/>
    <w:rsid w:val="530323B4"/>
    <w:rsid w:val="53281E1B"/>
    <w:rsid w:val="540208BE"/>
    <w:rsid w:val="54BA6AA3"/>
    <w:rsid w:val="54FC70BB"/>
    <w:rsid w:val="55821CB6"/>
    <w:rsid w:val="55AD20B3"/>
    <w:rsid w:val="564C5BC5"/>
    <w:rsid w:val="572E0865"/>
    <w:rsid w:val="58E93DFA"/>
    <w:rsid w:val="59101387"/>
    <w:rsid w:val="59814033"/>
    <w:rsid w:val="5A5676CA"/>
    <w:rsid w:val="5ABD109B"/>
    <w:rsid w:val="5B363F0D"/>
    <w:rsid w:val="5B7F45A2"/>
    <w:rsid w:val="5BA52381"/>
    <w:rsid w:val="5BB75372"/>
    <w:rsid w:val="5CE648D9"/>
    <w:rsid w:val="5D613110"/>
    <w:rsid w:val="5DDD6D2A"/>
    <w:rsid w:val="5DEFDAEE"/>
    <w:rsid w:val="5E0606ED"/>
    <w:rsid w:val="5EB56C59"/>
    <w:rsid w:val="5F0D0D5C"/>
    <w:rsid w:val="60217D48"/>
    <w:rsid w:val="604364E6"/>
    <w:rsid w:val="606A3A73"/>
    <w:rsid w:val="60A55852"/>
    <w:rsid w:val="627E3805"/>
    <w:rsid w:val="630006BE"/>
    <w:rsid w:val="643D4C6E"/>
    <w:rsid w:val="656479B7"/>
    <w:rsid w:val="656E5DB3"/>
    <w:rsid w:val="667E221F"/>
    <w:rsid w:val="676C6E71"/>
    <w:rsid w:val="688651C2"/>
    <w:rsid w:val="688D2F0B"/>
    <w:rsid w:val="68FA00B9"/>
    <w:rsid w:val="699E02E9"/>
    <w:rsid w:val="69FD6C6E"/>
    <w:rsid w:val="6A86594D"/>
    <w:rsid w:val="6AF33D87"/>
    <w:rsid w:val="6B381289"/>
    <w:rsid w:val="6C007E94"/>
    <w:rsid w:val="6CB7621B"/>
    <w:rsid w:val="6D4318D5"/>
    <w:rsid w:val="6FF63B66"/>
    <w:rsid w:val="6FFFA7D2"/>
    <w:rsid w:val="70514307"/>
    <w:rsid w:val="70551AFC"/>
    <w:rsid w:val="70C8281B"/>
    <w:rsid w:val="71D64AC4"/>
    <w:rsid w:val="729356D6"/>
    <w:rsid w:val="735760D9"/>
    <w:rsid w:val="74E7FA1C"/>
    <w:rsid w:val="751D0C5C"/>
    <w:rsid w:val="757C941B"/>
    <w:rsid w:val="77BD2CD5"/>
    <w:rsid w:val="77FB601E"/>
    <w:rsid w:val="79222CE5"/>
    <w:rsid w:val="797753D7"/>
    <w:rsid w:val="79C93160"/>
    <w:rsid w:val="79F24465"/>
    <w:rsid w:val="7A546ECE"/>
    <w:rsid w:val="7ADB314B"/>
    <w:rsid w:val="7B1B27CE"/>
    <w:rsid w:val="7B492AB4"/>
    <w:rsid w:val="7B7CB80D"/>
    <w:rsid w:val="7B8B2DC3"/>
    <w:rsid w:val="7C683105"/>
    <w:rsid w:val="7C863776"/>
    <w:rsid w:val="7D7F0DD4"/>
    <w:rsid w:val="7D7FEDB2"/>
    <w:rsid w:val="7DC4436B"/>
    <w:rsid w:val="7DFF1083"/>
    <w:rsid w:val="7E0155BF"/>
    <w:rsid w:val="7E90249F"/>
    <w:rsid w:val="7E9EF618"/>
    <w:rsid w:val="7F0569E9"/>
    <w:rsid w:val="7F075DA6"/>
    <w:rsid w:val="7F6DD5D5"/>
    <w:rsid w:val="7F833DB1"/>
    <w:rsid w:val="B8F5B57D"/>
    <w:rsid w:val="B955B02F"/>
    <w:rsid w:val="BFDD398B"/>
    <w:rsid w:val="C7FC71F4"/>
    <w:rsid w:val="CF7B3F5B"/>
    <w:rsid w:val="D7C97457"/>
    <w:rsid w:val="DBFF13D1"/>
    <w:rsid w:val="DF974B4E"/>
    <w:rsid w:val="EBDBDAAF"/>
    <w:rsid w:val="F9579958"/>
    <w:rsid w:val="FD3E4655"/>
    <w:rsid w:val="FDEF91E1"/>
    <w:rsid w:val="FDFD5545"/>
    <w:rsid w:val="FF6F8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eastAsia="微软雅黑" w:asciiTheme="minorHAnsi" w:hAnsiTheme="minorHAnsi" w:cstheme="minorBidi"/>
      <w:kern w:val="2"/>
      <w:sz w:val="21"/>
      <w:szCs w:val="24"/>
      <w:lang w:val="en-US" w:eastAsia="zh-CN" w:bidi="ar-SA"/>
    </w:rPr>
  </w:style>
  <w:style w:type="paragraph" w:styleId="2">
    <w:name w:val="heading 1"/>
    <w:next w:val="1"/>
    <w:qFormat/>
    <w:uiPriority w:val="9"/>
    <w:pPr>
      <w:keepNext/>
      <w:keepLines/>
      <w:numPr>
        <w:ilvl w:val="0"/>
        <w:numId w:val="1"/>
      </w:numPr>
      <w:tabs>
        <w:tab w:val="left" w:pos="0"/>
      </w:tabs>
      <w:adjustRightInd w:val="0"/>
      <w:snapToGrid w:val="0"/>
      <w:spacing w:before="50" w:beforeLines="50" w:after="20" w:afterLines="20" w:line="288" w:lineRule="auto"/>
      <w:outlineLvl w:val="0"/>
    </w:pPr>
    <w:rPr>
      <w:rFonts w:ascii="微软雅黑" w:hAnsi="微软雅黑" w:eastAsia="微软雅黑" w:cstheme="minorBidi"/>
      <w:b/>
      <w:bCs/>
      <w:kern w:val="44"/>
      <w:sz w:val="36"/>
      <w:szCs w:val="36"/>
      <w:lang w:val="en-US" w:eastAsia="zh-CN" w:bidi="ar-SA"/>
    </w:rPr>
  </w:style>
  <w:style w:type="paragraph" w:styleId="3">
    <w:name w:val="heading 2"/>
    <w:next w:val="1"/>
    <w:unhideWhenUsed/>
    <w:qFormat/>
    <w:uiPriority w:val="9"/>
    <w:pPr>
      <w:numPr>
        <w:ilvl w:val="1"/>
        <w:numId w:val="1"/>
      </w:numPr>
      <w:tabs>
        <w:tab w:val="left" w:pos="0"/>
      </w:tabs>
      <w:adjustRightInd w:val="0"/>
      <w:snapToGrid w:val="0"/>
      <w:spacing w:before="50" w:beforeLines="50" w:after="20" w:afterLines="20" w:line="288" w:lineRule="auto"/>
      <w:outlineLvl w:val="1"/>
    </w:pPr>
    <w:rPr>
      <w:rFonts w:ascii="微软雅黑" w:hAnsi="微软雅黑" w:eastAsia="微软雅黑" w:cstheme="minorBidi"/>
      <w:b/>
      <w:bCs/>
      <w:kern w:val="2"/>
      <w:sz w:val="32"/>
      <w:szCs w:val="32"/>
      <w:lang w:val="en-US" w:eastAsia="zh-CN" w:bidi="ar-SA"/>
    </w:rPr>
  </w:style>
  <w:style w:type="paragraph" w:styleId="4">
    <w:name w:val="heading 3"/>
    <w:next w:val="1"/>
    <w:unhideWhenUsed/>
    <w:qFormat/>
    <w:uiPriority w:val="9"/>
    <w:pPr>
      <w:numPr>
        <w:ilvl w:val="2"/>
        <w:numId w:val="1"/>
      </w:numPr>
      <w:tabs>
        <w:tab w:val="left" w:pos="0"/>
        <w:tab w:val="left" w:pos="312"/>
      </w:tabs>
      <w:adjustRightInd w:val="0"/>
      <w:snapToGrid w:val="0"/>
      <w:spacing w:before="50" w:beforeLines="50" w:after="20" w:afterLines="20" w:line="288" w:lineRule="auto"/>
      <w:outlineLvl w:val="2"/>
    </w:pPr>
    <w:rPr>
      <w:rFonts w:ascii="微软雅黑" w:hAnsi="微软雅黑" w:eastAsia="微软雅黑" w:cstheme="minorBidi"/>
      <w:b/>
      <w:kern w:val="2"/>
      <w:sz w:val="30"/>
      <w:szCs w:val="30"/>
      <w:lang w:val="en-US" w:eastAsia="zh-CN" w:bidi="ar-SA"/>
    </w:rPr>
  </w:style>
  <w:style w:type="paragraph" w:styleId="5">
    <w:name w:val="heading 4"/>
    <w:next w:val="1"/>
    <w:unhideWhenUsed/>
    <w:qFormat/>
    <w:uiPriority w:val="9"/>
    <w:pPr>
      <w:numPr>
        <w:ilvl w:val="3"/>
        <w:numId w:val="1"/>
      </w:numPr>
      <w:tabs>
        <w:tab w:val="left" w:pos="0"/>
      </w:tabs>
      <w:adjustRightInd w:val="0"/>
      <w:snapToGrid w:val="0"/>
      <w:spacing w:before="50" w:beforeLines="50" w:after="20" w:afterLines="20" w:line="288" w:lineRule="auto"/>
      <w:outlineLvl w:val="3"/>
    </w:pPr>
    <w:rPr>
      <w:rFonts w:ascii="微软雅黑" w:hAnsi="微软雅黑" w:eastAsia="微软雅黑" w:cstheme="minorBidi"/>
      <w:b/>
      <w:bCs/>
      <w:sz w:val="28"/>
      <w:szCs w:val="28"/>
      <w:lang w:val="en-US" w:eastAsia="zh-CN" w:bidi="ar-SA"/>
    </w:rPr>
  </w:style>
  <w:style w:type="paragraph" w:styleId="6">
    <w:name w:val="heading 5"/>
    <w:basedOn w:val="1"/>
    <w:next w:val="7"/>
    <w:unhideWhenUsed/>
    <w:qFormat/>
    <w:uiPriority w:val="9"/>
    <w:pPr>
      <w:numPr>
        <w:ilvl w:val="4"/>
        <w:numId w:val="1"/>
      </w:numPr>
      <w:tabs>
        <w:tab w:val="left" w:pos="312"/>
      </w:tabs>
      <w:spacing w:before="50" w:beforeLines="50"/>
      <w:jc w:val="left"/>
      <w:outlineLvl w:val="4"/>
    </w:pPr>
    <w:rPr>
      <w:rFonts w:ascii="Arial" w:hAnsi="Arial"/>
      <w:b/>
      <w:sz w:val="24"/>
      <w:szCs w:val="22"/>
    </w:rPr>
  </w:style>
  <w:style w:type="paragraph" w:styleId="8">
    <w:name w:val="heading 6"/>
    <w:basedOn w:val="1"/>
    <w:next w:val="7"/>
    <w:unhideWhenUsed/>
    <w:qFormat/>
    <w:uiPriority w:val="0"/>
    <w:pPr>
      <w:numPr>
        <w:ilvl w:val="5"/>
        <w:numId w:val="1"/>
      </w:numPr>
      <w:tabs>
        <w:tab w:val="left" w:pos="0"/>
      </w:tabs>
      <w:spacing w:before="50" w:beforeLines="50"/>
      <w:outlineLvl w:val="5"/>
    </w:pPr>
    <w:rPr>
      <w:rFonts w:ascii="微软雅黑" w:hAnsi="微软雅黑"/>
      <w:b/>
      <w:bCs/>
      <w:sz w:val="24"/>
    </w:rPr>
  </w:style>
  <w:style w:type="paragraph" w:styleId="9">
    <w:name w:val="heading 7"/>
    <w:basedOn w:val="1"/>
    <w:next w:val="7"/>
    <w:unhideWhenUsed/>
    <w:qFormat/>
    <w:uiPriority w:val="0"/>
    <w:pPr>
      <w:numPr>
        <w:ilvl w:val="6"/>
        <w:numId w:val="1"/>
      </w:numPr>
      <w:spacing w:before="50" w:beforeLines="50"/>
      <w:jc w:val="left"/>
      <w:outlineLvl w:val="6"/>
    </w:pPr>
    <w:rPr>
      <w:rFonts w:ascii="微软雅黑" w:hAnsi="微软雅黑"/>
      <w:b/>
      <w:bCs/>
      <w:sz w:val="24"/>
    </w:rPr>
  </w:style>
  <w:style w:type="paragraph" w:styleId="10">
    <w:name w:val="heading 8"/>
    <w:basedOn w:val="1"/>
    <w:next w:val="7"/>
    <w:unhideWhenUsed/>
    <w:qFormat/>
    <w:uiPriority w:val="0"/>
    <w:pPr>
      <w:numPr>
        <w:ilvl w:val="7"/>
        <w:numId w:val="1"/>
      </w:numPr>
      <w:tabs>
        <w:tab w:val="left" w:pos="0"/>
      </w:tabs>
      <w:spacing w:before="50" w:beforeLines="50"/>
      <w:outlineLvl w:val="7"/>
    </w:pPr>
    <w:rPr>
      <w:rFonts w:ascii="微软雅黑" w:hAnsi="微软雅黑" w:cstheme="majorBidi"/>
      <w:b/>
      <w:bCs/>
      <w:sz w:val="24"/>
    </w:rPr>
  </w:style>
  <w:style w:type="paragraph" w:styleId="11">
    <w:name w:val="heading 9"/>
    <w:basedOn w:val="1"/>
    <w:next w:val="7"/>
    <w:unhideWhenUsed/>
    <w:qFormat/>
    <w:uiPriority w:val="0"/>
    <w:pPr>
      <w:numPr>
        <w:ilvl w:val="8"/>
        <w:numId w:val="1"/>
      </w:numPr>
      <w:spacing w:before="50" w:beforeLines="50"/>
      <w:outlineLvl w:val="8"/>
    </w:pPr>
    <w:rPr>
      <w:rFonts w:ascii="微软雅黑" w:hAnsi="微软雅黑" w:cstheme="majorBidi"/>
      <w:b/>
      <w:bCs/>
      <w:sz w:val="24"/>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0"/>
    <w:rPr>
      <w:rFonts w:ascii="微软雅黑" w:hAnsi="微软雅黑"/>
      <w:szCs w:val="21"/>
    </w:rPr>
  </w:style>
  <w:style w:type="paragraph" w:styleId="12">
    <w:name w:val="caption"/>
    <w:basedOn w:val="1"/>
    <w:next w:val="1"/>
    <w:unhideWhenUsed/>
    <w:qFormat/>
    <w:uiPriority w:val="0"/>
    <w:rPr>
      <w:rFonts w:ascii="微软雅黑" w:hAnsi="微软雅黑" w:cs="Times New Roman"/>
      <w:sz w:val="20"/>
      <w:szCs w:val="20"/>
    </w:rPr>
  </w:style>
  <w:style w:type="paragraph" w:styleId="13">
    <w:name w:val="annotation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4">
    <w:name w:val="Salutation"/>
    <w:basedOn w:val="1"/>
    <w:next w:val="1"/>
    <w:qFormat/>
    <w:uiPriority w:val="0"/>
    <w:rPr>
      <w:rFonts w:ascii="微软雅黑" w:hAnsi="微软雅黑"/>
      <w:szCs w:val="21"/>
    </w:rPr>
  </w:style>
  <w:style w:type="paragraph" w:styleId="15">
    <w:name w:val="Date"/>
    <w:basedOn w:val="1"/>
    <w:next w:val="1"/>
    <w:qFormat/>
    <w:uiPriority w:val="0"/>
    <w:pPr>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6">
    <w:name w:val="endnote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7">
    <w:name w:val="Balloon Text"/>
    <w:basedOn w:val="1"/>
    <w:qFormat/>
    <w:uiPriority w:val="0"/>
    <w:rPr>
      <w:rFonts w:ascii="微软雅黑" w:hAnsi="微软雅黑"/>
      <w:sz w:val="18"/>
      <w:szCs w:val="18"/>
    </w:rPr>
  </w:style>
  <w:style w:type="paragraph" w:styleId="18">
    <w:name w:val="footer"/>
    <w:basedOn w:val="1"/>
    <w:qFormat/>
    <w:uiPriority w:val="0"/>
    <w:pPr>
      <w:tabs>
        <w:tab w:val="center" w:pos="4153"/>
        <w:tab w:val="right" w:pos="8306"/>
      </w:tabs>
      <w:jc w:val="left"/>
    </w:pPr>
    <w:rPr>
      <w:rFonts w:ascii="微软雅黑" w:hAnsi="微软雅黑"/>
      <w:sz w:val="18"/>
      <w:szCs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rFonts w:ascii="微软雅黑" w:hAnsi="微软雅黑"/>
      <w:sz w:val="18"/>
      <w:szCs w:val="18"/>
    </w:rPr>
  </w:style>
  <w:style w:type="paragraph" w:styleId="20">
    <w:name w:val="Signature"/>
    <w:basedOn w:val="1"/>
    <w:qFormat/>
    <w:uiPriority w:val="0"/>
    <w:pPr>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21">
    <w:name w:val="Subtitle"/>
    <w:basedOn w:val="1"/>
    <w:next w:val="7"/>
    <w:qFormat/>
    <w:uiPriority w:val="0"/>
    <w:pPr>
      <w:spacing w:after="100" w:afterLines="100" w:line="240" w:lineRule="auto"/>
      <w:jc w:val="center"/>
    </w:pPr>
    <w:rPr>
      <w:rFonts w:ascii="微软雅黑" w:hAnsi="微软雅黑"/>
      <w:b/>
      <w:bCs/>
      <w:kern w:val="28"/>
      <w:sz w:val="36"/>
      <w:szCs w:val="36"/>
    </w:rPr>
  </w:style>
  <w:style w:type="paragraph" w:styleId="22">
    <w:name w:val="footnote text"/>
    <w:basedOn w:val="1"/>
    <w:qFormat/>
    <w:uiPriority w:val="0"/>
    <w:pPr>
      <w:jc w:val="left"/>
    </w:pPr>
    <w:rPr>
      <w:rFonts w:ascii="微软雅黑" w:hAnsi="微软雅黑"/>
      <w:sz w:val="24"/>
    </w:rPr>
  </w:style>
  <w:style w:type="paragraph" w:styleId="23">
    <w:name w:val="Normal (Web)"/>
    <w:basedOn w:val="1"/>
    <w:qFormat/>
    <w:uiPriority w:val="0"/>
    <w:rPr>
      <w:rFonts w:ascii="微软雅黑" w:hAnsi="微软雅黑"/>
      <w:sz w:val="24"/>
    </w:rPr>
  </w:style>
  <w:style w:type="paragraph" w:styleId="24">
    <w:name w:val="Title"/>
    <w:basedOn w:val="1"/>
    <w:qFormat/>
    <w:uiPriority w:val="10"/>
    <w:pPr>
      <w:spacing w:after="100" w:afterLines="100"/>
      <w:jc w:val="center"/>
    </w:pPr>
    <w:rPr>
      <w:rFonts w:ascii="微软雅黑" w:hAnsi="微软雅黑"/>
      <w:b/>
      <w:bCs/>
      <w:sz w:val="48"/>
      <w:szCs w:val="48"/>
    </w:rPr>
  </w:style>
  <w:style w:type="paragraph" w:styleId="25">
    <w:name w:val="annotation subject"/>
    <w:basedOn w:val="13"/>
    <w:next w:val="13"/>
    <w:qFormat/>
    <w:uiPriority w:val="0"/>
    <w:rPr>
      <w:b/>
      <w:bCs/>
      <w:color w:val="262626" w:themeColor="text1" w:themeTint="D9"/>
      <w14:textFill>
        <w14:solidFill>
          <w14:schemeClr w14:val="tx1">
            <w14:lumMod w14:val="85000"/>
            <w14:lumOff w14:val="15000"/>
          </w14:schemeClr>
        </w14:solidFill>
      </w14:textFill>
    </w:rPr>
  </w:style>
  <w:style w:type="paragraph" w:styleId="26">
    <w:name w:val="Body Text First Indent"/>
    <w:basedOn w:val="7"/>
    <w:qFormat/>
    <w:uiPriority w:val="0"/>
    <w:pPr>
      <w:ind w:firstLine="420" w:firstLineChars="100"/>
    </w:pPr>
    <w:rPr>
      <w:rFonts w:ascii="Times New Roman" w:hAnsi="Times New Roman"/>
    </w:rPr>
  </w:style>
  <w:style w:type="character" w:styleId="29">
    <w:name w:val="Strong"/>
    <w:basedOn w:val="28"/>
    <w:qFormat/>
    <w:uiPriority w:val="22"/>
    <w:rPr>
      <w:rFonts w:ascii="微软雅黑" w:hAnsi="微软雅黑" w:eastAsia="微软雅黑"/>
      <w:b/>
      <w:color w:val="auto"/>
      <w:u w:val="single"/>
    </w:rPr>
  </w:style>
  <w:style w:type="character" w:styleId="30">
    <w:name w:val="endnote reference"/>
    <w:basedOn w:val="28"/>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character" w:styleId="31">
    <w:name w:val="page number"/>
    <w:qFormat/>
    <w:uiPriority w:val="0"/>
    <w:rPr>
      <w:rFonts w:ascii="微软雅黑" w:hAnsi="微软雅黑" w:eastAsia="微软雅黑" w:cs="Times New Roman"/>
      <w:color w:val="262626" w:themeColor="text1" w:themeTint="D9"/>
      <w:spacing w:val="-6"/>
      <w:kern w:val="2"/>
      <w:sz w:val="21"/>
      <w:szCs w:val="21"/>
      <w:lang w:val="en-US" w:eastAsia="zh-CN" w:bidi="ar-SA"/>
      <w14:textFill>
        <w14:solidFill>
          <w14:schemeClr w14:val="tx1">
            <w14:lumMod w14:val="85000"/>
            <w14:lumOff w14:val="15000"/>
          </w14:schemeClr>
        </w14:solidFill>
      </w14:textFill>
    </w:rPr>
  </w:style>
  <w:style w:type="character" w:styleId="32">
    <w:name w:val="FollowedHyperlink"/>
    <w:basedOn w:val="28"/>
    <w:qFormat/>
    <w:uiPriority w:val="0"/>
    <w:rPr>
      <w:rFonts w:ascii="微软雅黑" w:hAnsi="微软雅黑" w:eastAsia="微软雅黑" w:cs="Times New Roman"/>
      <w:color w:val="800080"/>
      <w:spacing w:val="-6"/>
      <w:kern w:val="2"/>
      <w:sz w:val="24"/>
      <w:szCs w:val="24"/>
      <w:u w:val="single"/>
      <w:lang w:val="en-US" w:eastAsia="zh-CN" w:bidi="ar-SA"/>
    </w:rPr>
  </w:style>
  <w:style w:type="character" w:styleId="33">
    <w:name w:val="Emphasis"/>
    <w:basedOn w:val="28"/>
    <w:qFormat/>
    <w:uiPriority w:val="20"/>
    <w:rPr>
      <w:rFonts w:ascii="Arial" w:hAnsi="Arial" w:eastAsia="微软雅黑"/>
      <w:b/>
      <w:bCs/>
      <w:i/>
      <w:color w:val="auto"/>
      <w:sz w:val="24"/>
      <w:szCs w:val="22"/>
    </w:rPr>
  </w:style>
  <w:style w:type="character" w:styleId="34">
    <w:name w:val="Hyperlink"/>
    <w:basedOn w:val="28"/>
    <w:qFormat/>
    <w:uiPriority w:val="0"/>
    <w:rPr>
      <w:rFonts w:ascii="微软雅黑" w:hAnsi="微软雅黑" w:eastAsia="微软雅黑" w:cs="Times New Roman"/>
      <w:caps/>
      <w:color w:val="0000FF"/>
      <w:spacing w:val="-6"/>
      <w:kern w:val="2"/>
      <w:sz w:val="24"/>
      <w:szCs w:val="24"/>
      <w:u w:val="single"/>
      <w:lang w:val="en-US" w:eastAsia="zh-CN" w:bidi="ar-SA"/>
    </w:rPr>
  </w:style>
  <w:style w:type="character" w:styleId="35">
    <w:name w:val="annotation reference"/>
    <w:basedOn w:val="28"/>
    <w:qFormat/>
    <w:uiPriority w:val="0"/>
    <w:rPr>
      <w:rFonts w:ascii="微软雅黑" w:hAnsi="微软雅黑" w:eastAsia="微软雅黑"/>
      <w:color w:val="262626" w:themeColor="text1" w:themeTint="D9"/>
      <w:sz w:val="21"/>
      <w:szCs w:val="21"/>
      <w14:textFill>
        <w14:solidFill>
          <w14:schemeClr w14:val="tx1">
            <w14:lumMod w14:val="85000"/>
            <w14:lumOff w14:val="15000"/>
          </w14:schemeClr>
        </w14:solidFill>
      </w14:textFill>
    </w:rPr>
  </w:style>
  <w:style w:type="character" w:styleId="36">
    <w:name w:val="footnote reference"/>
    <w:basedOn w:val="28"/>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paragraph" w:customStyle="1" w:styleId="37">
    <w:name w:val="17"/>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8">
    <w:name w:val="16"/>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9">
    <w:name w:val="文档说明标题"/>
    <w:basedOn w:val="1"/>
    <w:next w:val="1"/>
    <w:qFormat/>
    <w:uiPriority w:val="0"/>
    <w:pPr>
      <w:spacing w:after="100" w:afterLines="100" w:line="240" w:lineRule="auto"/>
      <w:jc w:val="center"/>
    </w:pPr>
    <w:rPr>
      <w:rFonts w:ascii="微软雅黑" w:hAnsi="微软雅黑"/>
      <w:b/>
      <w:bCs/>
      <w:sz w:val="48"/>
      <w:szCs w:val="48"/>
      <w:lang w:eastAsia="zh-Hans"/>
    </w:rPr>
  </w:style>
  <w:style w:type="paragraph" w:customStyle="1" w:styleId="40">
    <w:name w:val="附录标题"/>
    <w:next w:val="7"/>
    <w:qFormat/>
    <w:uiPriority w:val="0"/>
    <w:pPr>
      <w:tabs>
        <w:tab w:val="left" w:pos="0"/>
      </w:tabs>
      <w:adjustRightInd w:val="0"/>
      <w:snapToGrid w:val="0"/>
      <w:spacing w:after="100" w:afterLines="100"/>
      <w:jc w:val="center"/>
    </w:pPr>
    <w:rPr>
      <w:rFonts w:ascii="微软雅黑" w:hAnsi="微软雅黑" w:eastAsia="微软雅黑" w:cstheme="minorBidi"/>
      <w:b/>
      <w:bCs/>
      <w:kern w:val="28"/>
      <w:sz w:val="44"/>
      <w:szCs w:val="44"/>
      <w:lang w:val="en-US" w:eastAsia="zh-CN" w:bidi="ar-SA"/>
    </w:rPr>
  </w:style>
  <w:style w:type="paragraph" w:customStyle="1" w:styleId="41">
    <w:name w:val="章标题"/>
    <w:basedOn w:val="1"/>
    <w:next w:val="1"/>
    <w:qFormat/>
    <w:uiPriority w:val="0"/>
    <w:pPr>
      <w:spacing w:after="100" w:afterLines="100" w:line="240" w:lineRule="auto"/>
      <w:jc w:val="center"/>
      <w:outlineLvl w:val="0"/>
    </w:pPr>
    <w:rPr>
      <w:rFonts w:hint="eastAsia" w:ascii="微软雅黑" w:hAnsi="微软雅黑"/>
      <w:b/>
      <w:bCs/>
      <w:kern w:val="28"/>
      <w:sz w:val="44"/>
      <w:szCs w:val="44"/>
    </w:rPr>
  </w:style>
  <w:style w:type="paragraph" w:customStyle="1" w:styleId="42">
    <w:name w:val="节标题"/>
    <w:basedOn w:val="1"/>
    <w:next w:val="1"/>
    <w:qFormat/>
    <w:uiPriority w:val="0"/>
    <w:pPr>
      <w:spacing w:after="100" w:afterLines="100" w:line="240" w:lineRule="auto"/>
      <w:jc w:val="center"/>
      <w:outlineLvl w:val="0"/>
    </w:pPr>
    <w:rPr>
      <w:rFonts w:hint="eastAsia" w:ascii="微软雅黑" w:hAnsi="微软雅黑"/>
      <w:b/>
      <w:bCs/>
      <w:kern w:val="28"/>
      <w:sz w:val="36"/>
      <w:szCs w:val="36"/>
    </w:rPr>
  </w:style>
  <w:style w:type="character" w:customStyle="1" w:styleId="43">
    <w:name w:val="摘要"/>
    <w:basedOn w:val="28"/>
    <w:qFormat/>
    <w:uiPriority w:val="0"/>
    <w:rPr>
      <w:rFonts w:hint="eastAsia" w:ascii="Arial" w:hAnsi="Arial"/>
      <w:b/>
      <w:lang w:val="en-US" w:eastAsia="zh-CN"/>
    </w:rPr>
  </w:style>
  <w:style w:type="character" w:customStyle="1" w:styleId="44">
    <w:name w:val="关键词"/>
    <w:basedOn w:val="28"/>
    <w:qFormat/>
    <w:uiPriority w:val="0"/>
    <w:rPr>
      <w:rFonts w:hint="eastAsia" w:ascii="Arial" w:hAnsi="Arial"/>
      <w:b/>
      <w:lang w:val="en-US" w:eastAsia="zh-CN"/>
    </w:rPr>
  </w:style>
  <w:style w:type="paragraph" w:customStyle="1" w:styleId="45">
    <w:name w:val="题注1"/>
    <w:basedOn w:val="1"/>
    <w:qFormat/>
    <w:uiPriority w:val="0"/>
    <w:pPr>
      <w:jc w:val="center"/>
    </w:pPr>
    <w:rPr>
      <w:rFonts w:hint="eastAsia" w:ascii="微软雅黑" w:hAnsi="微软雅黑"/>
      <w:sz w:val="20"/>
      <w:szCs w:val="20"/>
    </w:rPr>
  </w:style>
  <w:style w:type="paragraph" w:customStyle="1" w:styleId="46">
    <w:name w:val="主送对象"/>
    <w:next w:val="7"/>
    <w:qFormat/>
    <w:uiPriority w:val="0"/>
    <w:pPr>
      <w:adjustRightInd w:val="0"/>
      <w:snapToGrid w:val="0"/>
      <w:spacing w:line="288" w:lineRule="auto"/>
    </w:pPr>
    <w:rPr>
      <w:rFonts w:ascii="微软雅黑" w:hAnsi="微软雅黑" w:eastAsia="微软雅黑" w:cs="Times New Roman"/>
      <w:color w:val="262626" w:themeColor="text1" w:themeTint="D9"/>
      <w:sz w:val="24"/>
      <w:szCs w:val="24"/>
      <w:lang w:val="en-US" w:eastAsia="zh-CN" w:bidi="ar-SA"/>
      <w14:textFill>
        <w14:solidFill>
          <w14:schemeClr w14:val="tx1">
            <w14:lumMod w14:val="85000"/>
            <w14:lumOff w14:val="15000"/>
          </w14:schemeClr>
        </w14:solidFill>
      </w14:textFill>
    </w:rPr>
  </w:style>
  <w:style w:type="paragraph" w:customStyle="1" w:styleId="47">
    <w:name w:val="目录标题"/>
    <w:basedOn w:val="1"/>
    <w:qFormat/>
    <w:uiPriority w:val="0"/>
    <w:pPr>
      <w:spacing w:afterLines="0" w:line="240" w:lineRule="auto"/>
      <w:jc w:val="center"/>
    </w:pPr>
    <w:rPr>
      <w:rFonts w:ascii="微软雅黑" w:hAnsi="微软雅黑"/>
      <w:b/>
      <w:sz w:val="28"/>
      <w:szCs w:val="28"/>
    </w:rPr>
  </w:style>
  <w:style w:type="paragraph" w:customStyle="1" w:styleId="48">
    <w:name w:val="致谢标题"/>
    <w:qFormat/>
    <w:uiPriority w:val="0"/>
    <w:pPr>
      <w:adjustRightInd w:val="0"/>
      <w:snapToGrid w:val="0"/>
      <w:spacing w:after="100" w:afterLines="100"/>
      <w:jc w:val="center"/>
      <w:outlineLvl w:val="0"/>
    </w:pPr>
    <w:rPr>
      <w:rFonts w:ascii="微软雅黑" w:hAnsi="微软雅黑" w:eastAsia="微软雅黑" w:cstheme="minorBidi"/>
      <w:b/>
      <w:bCs/>
      <w:kern w:val="28"/>
      <w:sz w:val="44"/>
      <w:szCs w:val="44"/>
      <w:lang w:val="en-US" w:eastAsia="zh-CN" w:bidi="ar-SA"/>
    </w:rPr>
  </w:style>
  <w:style w:type="paragraph" w:customStyle="1" w:styleId="49">
    <w:name w:val="声明标题"/>
    <w:next w:val="7"/>
    <w:qFormat/>
    <w:uiPriority w:val="0"/>
    <w:pPr>
      <w:adjustRightInd w:val="0"/>
      <w:snapToGrid w:val="0"/>
      <w:spacing w:after="100" w:afterLines="100"/>
      <w:jc w:val="center"/>
    </w:pPr>
    <w:rPr>
      <w:rFonts w:ascii="微软雅黑" w:hAnsi="微软雅黑" w:eastAsia="微软雅黑" w:cstheme="minorBidi"/>
      <w:b/>
      <w:bCs/>
      <w:kern w:val="28"/>
      <w:sz w:val="44"/>
      <w:szCs w:val="44"/>
      <w:lang w:val="en-US" w:eastAsia="zh-CN" w:bidi="ar-SA"/>
    </w:rPr>
  </w:style>
  <w:style w:type="paragraph" w:customStyle="1" w:styleId="50">
    <w:name w:val="参考文献标题"/>
    <w:link w:val="51"/>
    <w:qFormat/>
    <w:uiPriority w:val="0"/>
    <w:pPr>
      <w:adjustRightInd w:val="0"/>
      <w:snapToGrid w:val="0"/>
      <w:spacing w:after="100" w:afterLines="100"/>
      <w:jc w:val="center"/>
    </w:pPr>
    <w:rPr>
      <w:rFonts w:ascii="微软雅黑" w:hAnsi="微软雅黑" w:eastAsia="微软雅黑" w:cstheme="minorBidi"/>
      <w:b/>
      <w:bCs/>
      <w:sz w:val="44"/>
      <w:szCs w:val="44"/>
      <w:lang w:val="en-US" w:eastAsia="zh-CN" w:bidi="ar-SA"/>
    </w:rPr>
  </w:style>
  <w:style w:type="character" w:customStyle="1" w:styleId="51">
    <w:name w:val="参考文献标题 Char"/>
    <w:link w:val="50"/>
    <w:qFormat/>
    <w:uiPriority w:val="0"/>
    <w:rPr>
      <w:rFonts w:ascii="微软雅黑" w:hAnsi="微软雅黑" w:eastAsia="微软雅黑" w:cstheme="minorBidi"/>
      <w:b/>
      <w:bCs/>
      <w:sz w:val="44"/>
      <w:szCs w:val="4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山东省科技厅</Company>
  <Pages>5</Pages>
  <Words>2033</Words>
  <Characters>2044</Characters>
  <Lines>60</Lines>
  <Paragraphs>50</Paragraphs>
  <TotalTime>0</TotalTime>
  <ScaleCrop>false</ScaleCrop>
  <LinksUpToDate>false</LinksUpToDate>
  <CharactersWithSpaces>2114</CharactersWithSpaces>
  <Application>WPS Office_11.8.2.12330_F1E327BC-269C-435d-A152-05C5408002CA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2022-11-15T02:05:00Z</dcterms:created>
  <dc:creator>HPuser</dc:creator>
  <cp:lastModifiedBy>Administrator</cp:lastModifiedBy>
  <cp:lastPrinted>2025-12-30T08:57:00Z</cp:lastPrinted>
  <dcterms:modified xsi:type="dcterms:W3CDTF">2026-09-07T09:00:36Z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2052-11.8.2.12330</vt:lpwstr>
  </property>
  <property fmtid="{D5CDD505-2E9C-101B-9397-08002B2CF9AE}" pid="3" name="ICV">
    <vt:lpwstr>A47F4B3A84374DC6ACDE47E731C8F1D9</vt:lpwstr>
  </property>
  <property fmtid="{D5CDD505-2E9C-101B-9397-08002B2CF9AE}" pid="4" name="KSOTemplateDocerSaveRecord">
    <vt:lpwstr>eyJoZGlkIjoiZjk2ZmYwOGFkZjJmMGM1YThjMmVlMjViODY4YjQ2MDQiLCJ1c2VySWQiOiIzODg4NDczOTUifQ==</vt:lpwstr>
  </property>
</Properties>
</file>